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EB45">
      <w:pPr>
        <w:spacing w:before="98" w:line="224" w:lineRule="auto"/>
        <w:ind w:left="18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6"/>
          <w:sz w:val="30"/>
          <w:szCs w:val="30"/>
          <w:lang w:val="en-US" w:eastAsia="zh-CN"/>
        </w:rPr>
        <w:t>3</w:t>
      </w:r>
    </w:p>
    <w:p w14:paraId="784904B8">
      <w:pPr>
        <w:spacing w:line="305" w:lineRule="auto"/>
        <w:rPr>
          <w:rFonts w:ascii="Arial"/>
          <w:sz w:val="21"/>
        </w:rPr>
      </w:pPr>
    </w:p>
    <w:p w14:paraId="01B47A09">
      <w:pPr>
        <w:spacing w:line="305" w:lineRule="auto"/>
        <w:rPr>
          <w:rFonts w:ascii="Arial"/>
          <w:sz w:val="21"/>
        </w:rPr>
      </w:pPr>
    </w:p>
    <w:p w14:paraId="4BAC6096">
      <w:pPr>
        <w:spacing w:before="117" w:line="219" w:lineRule="auto"/>
        <w:ind w:left="21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2025年度中心游学项目基本安排</w:t>
      </w:r>
    </w:p>
    <w:p w14:paraId="26E317CB">
      <w:pPr>
        <w:spacing w:before="74"/>
      </w:pPr>
    </w:p>
    <w:p w14:paraId="16BA64BF">
      <w:pPr>
        <w:spacing w:before="73"/>
      </w:pPr>
      <w:bookmarkStart w:id="0" w:name="_GoBack"/>
    </w:p>
    <w:tbl>
      <w:tblPr>
        <w:tblStyle w:val="5"/>
        <w:tblW w:w="8965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6663"/>
      </w:tblGrid>
      <w:tr w14:paraId="574C9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2" w:type="dxa"/>
            <w:vAlign w:val="top"/>
          </w:tcPr>
          <w:p w14:paraId="341B8685">
            <w:pPr>
              <w:pStyle w:val="4"/>
              <w:spacing w:before="111" w:line="219" w:lineRule="auto"/>
              <w:ind w:left="128"/>
            </w:pPr>
            <w:r>
              <w:rPr>
                <w:b/>
                <w:bCs/>
                <w:spacing w:val="-5"/>
              </w:rPr>
              <w:t>游学高校</w:t>
            </w:r>
          </w:p>
        </w:tc>
        <w:tc>
          <w:tcPr>
            <w:tcW w:w="6663" w:type="dxa"/>
            <w:vAlign w:val="top"/>
          </w:tcPr>
          <w:p w14:paraId="5DA0B275">
            <w:pPr>
              <w:pStyle w:val="4"/>
              <w:spacing w:before="111" w:line="219" w:lineRule="auto"/>
              <w:ind w:left="2596"/>
            </w:pPr>
            <w:r>
              <w:rPr>
                <w:b/>
                <w:bCs/>
                <w:spacing w:val="-4"/>
              </w:rPr>
              <w:t>英国牛津大学</w:t>
            </w:r>
          </w:p>
        </w:tc>
      </w:tr>
      <w:tr w14:paraId="4DC82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02" w:type="dxa"/>
            <w:vAlign w:val="top"/>
          </w:tcPr>
          <w:p w14:paraId="65893CAA">
            <w:pPr>
              <w:pStyle w:val="4"/>
              <w:spacing w:before="109" w:line="219" w:lineRule="auto"/>
              <w:ind w:left="124"/>
            </w:pPr>
            <w:r>
              <w:rPr>
                <w:spacing w:val="3"/>
              </w:rPr>
              <w:t>项目拟实施时间</w:t>
            </w:r>
          </w:p>
        </w:tc>
        <w:tc>
          <w:tcPr>
            <w:tcW w:w="6663" w:type="dxa"/>
            <w:vAlign w:val="top"/>
          </w:tcPr>
          <w:p w14:paraId="2BD74E08">
            <w:pPr>
              <w:pStyle w:val="4"/>
              <w:spacing w:before="111" w:line="219" w:lineRule="auto"/>
              <w:ind w:left="1932"/>
            </w:pPr>
            <w:r>
              <w:rPr>
                <w:spacing w:val="1"/>
              </w:rPr>
              <w:t>2025年暑期，时长3周左右</w:t>
            </w:r>
          </w:p>
        </w:tc>
      </w:tr>
      <w:tr w14:paraId="47C1E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02" w:type="dxa"/>
            <w:vAlign w:val="top"/>
          </w:tcPr>
          <w:p w14:paraId="3AE44630">
            <w:pPr>
              <w:pStyle w:val="4"/>
              <w:spacing w:before="203" w:line="221" w:lineRule="auto"/>
              <w:ind w:left="124"/>
            </w:pPr>
            <w:r>
              <w:rPr>
                <w:spacing w:val="2"/>
              </w:rPr>
              <w:t>面向学生</w:t>
            </w:r>
          </w:p>
        </w:tc>
        <w:tc>
          <w:tcPr>
            <w:tcW w:w="6663" w:type="dxa"/>
            <w:vAlign w:val="top"/>
          </w:tcPr>
          <w:p w14:paraId="45C9E27D">
            <w:pPr>
              <w:pStyle w:val="4"/>
              <w:spacing w:before="40" w:line="226" w:lineRule="auto"/>
              <w:ind w:left="122" w:right="8" w:hanging="110"/>
            </w:pPr>
            <w:r>
              <w:rPr>
                <w:spacing w:val="-3"/>
              </w:rPr>
              <w:t>专业不限，英语口语和写作达到学术水平，有托福</w:t>
            </w:r>
            <w:r>
              <w:rPr>
                <w:spacing w:val="-4"/>
              </w:rPr>
              <w:t>和雅思成绩者</w:t>
            </w:r>
            <w:r>
              <w:t xml:space="preserve"> </w:t>
            </w:r>
            <w:r>
              <w:rPr>
                <w:spacing w:val="1"/>
              </w:rPr>
              <w:t>优先，</w:t>
            </w:r>
            <w:r>
              <w:t>GPA</w:t>
            </w:r>
            <w:r>
              <w:rPr>
                <w:spacing w:val="1"/>
              </w:rPr>
              <w:t>&gt;3.0</w:t>
            </w:r>
          </w:p>
        </w:tc>
      </w:tr>
      <w:tr w14:paraId="27A42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02" w:type="dxa"/>
            <w:vAlign w:val="top"/>
          </w:tcPr>
          <w:p w14:paraId="3D65F605">
            <w:pPr>
              <w:pStyle w:val="4"/>
              <w:spacing w:before="114" w:line="219" w:lineRule="auto"/>
              <w:ind w:left="124"/>
            </w:pPr>
            <w:r>
              <w:rPr>
                <w:spacing w:val="2"/>
              </w:rPr>
              <w:t>主要课程内容</w:t>
            </w:r>
          </w:p>
        </w:tc>
        <w:tc>
          <w:tcPr>
            <w:tcW w:w="6663" w:type="dxa"/>
            <w:vAlign w:val="top"/>
          </w:tcPr>
          <w:p w14:paraId="29C533EA">
            <w:pPr>
              <w:pStyle w:val="4"/>
              <w:spacing w:before="112" w:line="219" w:lineRule="auto"/>
              <w:ind w:left="143"/>
            </w:pPr>
            <w:r>
              <w:rPr>
                <w:spacing w:val="1"/>
              </w:rPr>
              <w:t>商科、人文社科</w:t>
            </w:r>
          </w:p>
        </w:tc>
      </w:tr>
      <w:tr w14:paraId="38896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302" w:type="dxa"/>
            <w:vAlign w:val="top"/>
          </w:tcPr>
          <w:p w14:paraId="1EF61315">
            <w:pPr>
              <w:spacing w:line="444" w:lineRule="auto"/>
              <w:rPr>
                <w:rFonts w:ascii="Arial"/>
                <w:sz w:val="21"/>
              </w:rPr>
            </w:pPr>
          </w:p>
          <w:p w14:paraId="48B9EFAA">
            <w:pPr>
              <w:pStyle w:val="4"/>
              <w:spacing w:before="78" w:line="220" w:lineRule="auto"/>
              <w:ind w:left="124"/>
            </w:pPr>
            <w:r>
              <w:rPr>
                <w:spacing w:val="-2"/>
              </w:rPr>
              <w:t>游学形式</w:t>
            </w:r>
          </w:p>
        </w:tc>
        <w:tc>
          <w:tcPr>
            <w:tcW w:w="6663" w:type="dxa"/>
            <w:vAlign w:val="top"/>
          </w:tcPr>
          <w:p w14:paraId="5D923FDE">
            <w:pPr>
              <w:pStyle w:val="4"/>
              <w:spacing w:before="55" w:line="231" w:lineRule="auto"/>
              <w:ind w:left="12"/>
              <w:jc w:val="both"/>
            </w:pPr>
            <w:r>
              <w:rPr>
                <w:spacing w:val="-4"/>
              </w:rPr>
              <w:t>课堂教学+工作坊+英国文化、名校游；课程主要为通识教育课程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及探讨前沿课题，文化参访内容包括英国伦敦大学学院、牛津大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学、剑桥大学等顶级名校，体验英国白金汉宫、康桥泛舟等著名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文化景观及人文体验。</w:t>
            </w:r>
          </w:p>
        </w:tc>
      </w:tr>
      <w:tr w14:paraId="25C0F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02" w:type="dxa"/>
            <w:vAlign w:val="top"/>
          </w:tcPr>
          <w:p w14:paraId="16C167F3">
            <w:pPr>
              <w:pStyle w:val="4"/>
              <w:spacing w:before="207" w:line="219" w:lineRule="auto"/>
              <w:ind w:left="124"/>
            </w:pPr>
            <w:r>
              <w:rPr>
                <w:spacing w:val="4"/>
              </w:rPr>
              <w:t>人均预算费用</w:t>
            </w:r>
          </w:p>
        </w:tc>
        <w:tc>
          <w:tcPr>
            <w:tcW w:w="6663" w:type="dxa"/>
            <w:vAlign w:val="top"/>
          </w:tcPr>
          <w:p w14:paraId="5C2BFFEC">
            <w:pPr>
              <w:pStyle w:val="4"/>
              <w:spacing w:before="45" w:line="224" w:lineRule="auto"/>
              <w:ind w:left="112" w:right="147" w:firstLine="20"/>
            </w:pPr>
            <w:r>
              <w:t>约5.88万元人民币左右(不含在英期间午餐费，不含往返武汉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所需差旅费)</w:t>
            </w:r>
          </w:p>
        </w:tc>
      </w:tr>
      <w:tr w14:paraId="5D505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02" w:type="dxa"/>
            <w:vAlign w:val="top"/>
          </w:tcPr>
          <w:p w14:paraId="4F48FCFB">
            <w:pPr>
              <w:pStyle w:val="4"/>
              <w:spacing w:before="121" w:line="221" w:lineRule="auto"/>
              <w:ind w:left="124"/>
            </w:pPr>
            <w:r>
              <w:rPr>
                <w:spacing w:val="6"/>
              </w:rPr>
              <w:t>备注</w:t>
            </w:r>
          </w:p>
        </w:tc>
        <w:tc>
          <w:tcPr>
            <w:tcW w:w="6663" w:type="dxa"/>
            <w:vAlign w:val="top"/>
          </w:tcPr>
          <w:p w14:paraId="39EF5129">
            <w:pPr>
              <w:pStyle w:val="4"/>
              <w:spacing w:before="118" w:line="219" w:lineRule="auto"/>
              <w:ind w:left="102"/>
            </w:pPr>
            <w:r>
              <w:t>项目结束后，学生可获由游学高校提供的项目结业证书。</w:t>
            </w:r>
          </w:p>
        </w:tc>
      </w:tr>
    </w:tbl>
    <w:p w14:paraId="29093178">
      <w:pPr>
        <w:spacing w:before="6"/>
      </w:pPr>
    </w:p>
    <w:p w14:paraId="75BAAC14">
      <w:pPr>
        <w:spacing w:before="6"/>
      </w:pPr>
    </w:p>
    <w:p w14:paraId="5FB5F87B">
      <w:pPr>
        <w:spacing w:before="6"/>
      </w:pPr>
    </w:p>
    <w:p w14:paraId="6E3A9874">
      <w:pPr>
        <w:spacing w:before="6"/>
      </w:pPr>
    </w:p>
    <w:tbl>
      <w:tblPr>
        <w:tblStyle w:val="5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6658"/>
      </w:tblGrid>
      <w:tr w14:paraId="1DC1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2" w:type="dxa"/>
            <w:vAlign w:val="top"/>
          </w:tcPr>
          <w:p w14:paraId="19250C89">
            <w:pPr>
              <w:pStyle w:val="4"/>
              <w:spacing w:before="111" w:line="219" w:lineRule="auto"/>
              <w:ind w:left="128"/>
            </w:pPr>
            <w:r>
              <w:rPr>
                <w:b/>
                <w:bCs/>
                <w:spacing w:val="-5"/>
              </w:rPr>
              <w:t>游学高校</w:t>
            </w:r>
          </w:p>
        </w:tc>
        <w:tc>
          <w:tcPr>
            <w:tcW w:w="6658" w:type="dxa"/>
            <w:vAlign w:val="top"/>
          </w:tcPr>
          <w:p w14:paraId="5D00496F">
            <w:pPr>
              <w:pStyle w:val="4"/>
              <w:spacing w:before="111" w:line="219" w:lineRule="auto"/>
              <w:ind w:left="2606"/>
            </w:pPr>
            <w:r>
              <w:rPr>
                <w:b/>
                <w:bCs/>
                <w:spacing w:val="-4"/>
              </w:rPr>
              <w:t>英国剑桥大学</w:t>
            </w:r>
          </w:p>
        </w:tc>
      </w:tr>
      <w:tr w14:paraId="43AA0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12" w:type="dxa"/>
            <w:vAlign w:val="top"/>
          </w:tcPr>
          <w:p w14:paraId="3D6D6A19">
            <w:pPr>
              <w:pStyle w:val="4"/>
              <w:spacing w:before="109" w:line="219" w:lineRule="auto"/>
              <w:ind w:left="124"/>
            </w:pPr>
            <w:r>
              <w:rPr>
                <w:spacing w:val="3"/>
              </w:rPr>
              <w:t>项目拟实施时间</w:t>
            </w:r>
          </w:p>
        </w:tc>
        <w:tc>
          <w:tcPr>
            <w:tcW w:w="6658" w:type="dxa"/>
            <w:vAlign w:val="top"/>
          </w:tcPr>
          <w:p w14:paraId="33884DB0">
            <w:pPr>
              <w:pStyle w:val="4"/>
              <w:spacing w:before="111" w:line="219" w:lineRule="auto"/>
              <w:ind w:left="1942"/>
            </w:pPr>
            <w:r>
              <w:rPr>
                <w:spacing w:val="1"/>
              </w:rPr>
              <w:t>2025年暑期，时长3周左右</w:t>
            </w:r>
          </w:p>
        </w:tc>
      </w:tr>
      <w:tr w14:paraId="1E6FA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12" w:type="dxa"/>
            <w:vAlign w:val="top"/>
          </w:tcPr>
          <w:p w14:paraId="4D2FD3E3">
            <w:pPr>
              <w:pStyle w:val="4"/>
              <w:spacing w:before="203" w:line="221" w:lineRule="auto"/>
              <w:ind w:left="124"/>
            </w:pPr>
            <w:r>
              <w:rPr>
                <w:spacing w:val="2"/>
              </w:rPr>
              <w:t>面向学生</w:t>
            </w:r>
          </w:p>
        </w:tc>
        <w:tc>
          <w:tcPr>
            <w:tcW w:w="6658" w:type="dxa"/>
            <w:vAlign w:val="top"/>
          </w:tcPr>
          <w:p w14:paraId="1D158B48">
            <w:pPr>
              <w:pStyle w:val="4"/>
              <w:spacing w:before="51" w:line="218" w:lineRule="auto"/>
              <w:ind w:left="111" w:hanging="99"/>
            </w:pPr>
            <w:r>
              <w:rPr>
                <w:spacing w:val="-3"/>
              </w:rPr>
              <w:t>专业不限，英语口语和写作达到学术水平，有托福和雅思成</w:t>
            </w:r>
            <w:r>
              <w:rPr>
                <w:spacing w:val="-4"/>
              </w:rPr>
              <w:t>绩者</w:t>
            </w:r>
            <w:r>
              <w:t xml:space="preserve"> </w:t>
            </w:r>
            <w:r>
              <w:rPr>
                <w:spacing w:val="1"/>
              </w:rPr>
              <w:t>优先，</w:t>
            </w:r>
            <w:r>
              <w:t>GPA</w:t>
            </w:r>
            <w:r>
              <w:rPr>
                <w:spacing w:val="1"/>
              </w:rPr>
              <w:t>&gt;3.0</w:t>
            </w:r>
          </w:p>
        </w:tc>
      </w:tr>
      <w:tr w14:paraId="0C3A4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12" w:type="dxa"/>
            <w:vAlign w:val="top"/>
          </w:tcPr>
          <w:p w14:paraId="34EF22B8">
            <w:pPr>
              <w:pStyle w:val="4"/>
              <w:spacing w:before="114" w:line="219" w:lineRule="auto"/>
              <w:ind w:left="124"/>
            </w:pPr>
            <w:r>
              <w:rPr>
                <w:spacing w:val="2"/>
              </w:rPr>
              <w:t>主要课程内容</w:t>
            </w:r>
          </w:p>
        </w:tc>
        <w:tc>
          <w:tcPr>
            <w:tcW w:w="6658" w:type="dxa"/>
            <w:vAlign w:val="top"/>
          </w:tcPr>
          <w:p w14:paraId="6CB0DC6A">
            <w:pPr>
              <w:pStyle w:val="4"/>
              <w:spacing w:before="112" w:line="219" w:lineRule="auto"/>
              <w:ind w:left="133"/>
            </w:pPr>
            <w:r>
              <w:rPr>
                <w:spacing w:val="1"/>
              </w:rPr>
              <w:t>商科、人文社科</w:t>
            </w:r>
          </w:p>
        </w:tc>
      </w:tr>
      <w:tr w14:paraId="26E94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312" w:type="dxa"/>
            <w:vAlign w:val="top"/>
          </w:tcPr>
          <w:p w14:paraId="08A4BD7B">
            <w:pPr>
              <w:spacing w:line="285" w:lineRule="auto"/>
              <w:rPr>
                <w:rFonts w:ascii="Arial"/>
                <w:sz w:val="21"/>
              </w:rPr>
            </w:pPr>
          </w:p>
          <w:p w14:paraId="2019B6AF">
            <w:pPr>
              <w:pStyle w:val="4"/>
              <w:spacing w:before="78" w:line="220" w:lineRule="auto"/>
              <w:ind w:left="124"/>
            </w:pPr>
            <w:r>
              <w:rPr>
                <w:spacing w:val="-2"/>
              </w:rPr>
              <w:t>游学形式</w:t>
            </w:r>
          </w:p>
        </w:tc>
        <w:tc>
          <w:tcPr>
            <w:tcW w:w="6658" w:type="dxa"/>
            <w:vAlign w:val="top"/>
          </w:tcPr>
          <w:p w14:paraId="7FCBE4BB">
            <w:pPr>
              <w:pStyle w:val="4"/>
              <w:spacing w:before="45" w:line="219" w:lineRule="auto"/>
              <w:jc w:val="right"/>
            </w:pPr>
            <w:r>
              <w:rPr>
                <w:spacing w:val="-3"/>
              </w:rPr>
              <w:t>课堂教学+工作坊+英国文化、名校游；课程主要为通识教育课程</w:t>
            </w:r>
          </w:p>
          <w:p w14:paraId="320FB20F">
            <w:pPr>
              <w:pStyle w:val="4"/>
              <w:spacing w:before="35" w:line="224" w:lineRule="auto"/>
              <w:ind w:left="12"/>
            </w:pPr>
            <w:r>
              <w:rPr>
                <w:spacing w:val="-7"/>
              </w:rPr>
              <w:t>及探讨前沿课题，文化参访内容包括牛津大学、剑桥大学等顶级</w:t>
            </w:r>
            <w:r>
              <w:rPr>
                <w:spacing w:val="3"/>
              </w:rPr>
              <w:t xml:space="preserve">  </w:t>
            </w:r>
            <w:r>
              <w:rPr>
                <w:spacing w:val="-11"/>
              </w:rPr>
              <w:t>名校，体验英国白金汉宫、康桥泛舟等著名文化景</w:t>
            </w:r>
            <w:r>
              <w:rPr>
                <w:spacing w:val="-12"/>
              </w:rPr>
              <w:t>观及人文体验。</w:t>
            </w:r>
          </w:p>
        </w:tc>
      </w:tr>
      <w:tr w14:paraId="26225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312" w:type="dxa"/>
            <w:vAlign w:val="top"/>
          </w:tcPr>
          <w:p w14:paraId="25FC9D0B">
            <w:pPr>
              <w:pStyle w:val="4"/>
              <w:spacing w:before="217" w:line="219" w:lineRule="auto"/>
              <w:ind w:left="124"/>
            </w:pPr>
            <w:r>
              <w:rPr>
                <w:spacing w:val="4"/>
              </w:rPr>
              <w:t>人均预算费用</w:t>
            </w:r>
          </w:p>
        </w:tc>
        <w:tc>
          <w:tcPr>
            <w:tcW w:w="6658" w:type="dxa"/>
            <w:vAlign w:val="top"/>
          </w:tcPr>
          <w:p w14:paraId="14866320">
            <w:pPr>
              <w:pStyle w:val="4"/>
              <w:spacing w:before="45" w:line="228" w:lineRule="auto"/>
              <w:ind w:left="112" w:right="132" w:firstLine="30"/>
            </w:pPr>
            <w:r>
              <w:t>约5.88万元人民币左右(不含在英期间午餐费，不含往返武汉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所需差旅费)</w:t>
            </w:r>
          </w:p>
        </w:tc>
      </w:tr>
      <w:tr w14:paraId="4AED8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12" w:type="dxa"/>
            <w:vAlign w:val="top"/>
          </w:tcPr>
          <w:p w14:paraId="76B101C7">
            <w:pPr>
              <w:pStyle w:val="4"/>
              <w:spacing w:before="120" w:line="221" w:lineRule="auto"/>
              <w:ind w:left="124"/>
            </w:pPr>
            <w:r>
              <w:rPr>
                <w:spacing w:val="6"/>
              </w:rPr>
              <w:t>备注</w:t>
            </w:r>
          </w:p>
        </w:tc>
        <w:tc>
          <w:tcPr>
            <w:tcW w:w="6658" w:type="dxa"/>
            <w:vAlign w:val="top"/>
          </w:tcPr>
          <w:p w14:paraId="4FE58E5D">
            <w:pPr>
              <w:pStyle w:val="4"/>
              <w:spacing w:before="117" w:line="219" w:lineRule="auto"/>
              <w:ind w:left="102"/>
            </w:pPr>
            <w:r>
              <w:t>项目结束后，学生可获由游学高校提供的项目结业证书。</w:t>
            </w:r>
          </w:p>
        </w:tc>
      </w:tr>
    </w:tbl>
    <w:p w14:paraId="517CE783">
      <w:pPr>
        <w:rPr>
          <w:rFonts w:ascii="Arial"/>
          <w:sz w:val="21"/>
        </w:rPr>
      </w:pPr>
    </w:p>
    <w:p w14:paraId="5A55D1B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499" w:bottom="1667" w:left="1425" w:header="0" w:footer="1278" w:gutter="0"/>
          <w:cols w:space="720" w:num="1"/>
        </w:sectPr>
      </w:pPr>
    </w:p>
    <w:p w14:paraId="1C53957B">
      <w:pPr>
        <w:spacing w:before="70"/>
      </w:pPr>
    </w:p>
    <w:p w14:paraId="130B1E1E">
      <w:pPr>
        <w:spacing w:before="69"/>
      </w:pPr>
    </w:p>
    <w:p w14:paraId="601CB26A">
      <w:pPr>
        <w:spacing w:before="69"/>
      </w:pPr>
    </w:p>
    <w:tbl>
      <w:tblPr>
        <w:tblStyle w:val="5"/>
        <w:tblW w:w="896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6637"/>
      </w:tblGrid>
      <w:tr w14:paraId="7D503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32" w:type="dxa"/>
            <w:vAlign w:val="top"/>
          </w:tcPr>
          <w:p w14:paraId="75CA975D">
            <w:pPr>
              <w:pStyle w:val="4"/>
              <w:spacing w:before="111" w:line="219" w:lineRule="auto"/>
              <w:ind w:left="118"/>
            </w:pPr>
            <w:r>
              <w:rPr>
                <w:b/>
                <w:bCs/>
                <w:spacing w:val="-5"/>
              </w:rPr>
              <w:t>游学高校</w:t>
            </w:r>
          </w:p>
        </w:tc>
        <w:tc>
          <w:tcPr>
            <w:tcW w:w="6637" w:type="dxa"/>
            <w:vAlign w:val="top"/>
          </w:tcPr>
          <w:p w14:paraId="08DE41A3">
            <w:pPr>
              <w:pStyle w:val="4"/>
              <w:spacing w:before="111" w:line="219" w:lineRule="auto"/>
              <w:ind w:left="2356"/>
            </w:pPr>
            <w:r>
              <w:rPr>
                <w:b/>
                <w:bCs/>
                <w:spacing w:val="-4"/>
              </w:rPr>
              <w:t>英国伦敦大学学院</w:t>
            </w:r>
          </w:p>
        </w:tc>
      </w:tr>
      <w:tr w14:paraId="70394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32" w:type="dxa"/>
            <w:vAlign w:val="top"/>
          </w:tcPr>
          <w:p w14:paraId="1D3045D2">
            <w:pPr>
              <w:pStyle w:val="4"/>
              <w:spacing w:before="109" w:line="219" w:lineRule="auto"/>
              <w:ind w:left="114"/>
            </w:pPr>
            <w:r>
              <w:rPr>
                <w:spacing w:val="3"/>
              </w:rPr>
              <w:t>项目拟实施时间</w:t>
            </w:r>
          </w:p>
        </w:tc>
        <w:tc>
          <w:tcPr>
            <w:tcW w:w="6637" w:type="dxa"/>
            <w:vAlign w:val="top"/>
          </w:tcPr>
          <w:p w14:paraId="74DD7388">
            <w:pPr>
              <w:pStyle w:val="4"/>
              <w:spacing w:before="111" w:line="219" w:lineRule="auto"/>
              <w:ind w:left="1932"/>
            </w:pPr>
            <w:r>
              <w:rPr>
                <w:spacing w:val="1"/>
              </w:rPr>
              <w:t>2025年暑期，时长3周左右</w:t>
            </w:r>
          </w:p>
        </w:tc>
      </w:tr>
      <w:tr w14:paraId="24B46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332" w:type="dxa"/>
            <w:vAlign w:val="top"/>
          </w:tcPr>
          <w:p w14:paraId="56B4E905">
            <w:pPr>
              <w:pStyle w:val="4"/>
              <w:spacing w:before="213" w:line="221" w:lineRule="auto"/>
              <w:ind w:left="114"/>
            </w:pPr>
            <w:r>
              <w:rPr>
                <w:spacing w:val="2"/>
              </w:rPr>
              <w:t>面向学生</w:t>
            </w:r>
          </w:p>
        </w:tc>
        <w:tc>
          <w:tcPr>
            <w:tcW w:w="6637" w:type="dxa"/>
            <w:vAlign w:val="top"/>
          </w:tcPr>
          <w:p w14:paraId="433046CC">
            <w:pPr>
              <w:pStyle w:val="4"/>
              <w:spacing w:before="72" w:line="218" w:lineRule="auto"/>
              <w:ind w:left="113"/>
            </w:pPr>
            <w:r>
              <w:rPr>
                <w:spacing w:val="-8"/>
              </w:rPr>
              <w:t>专业不限，英语口语和写作达到学术水平，有托福和雅思成绩者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优先，</w:t>
            </w:r>
            <w:r>
              <w:t>GPA</w:t>
            </w:r>
            <w:r>
              <w:rPr>
                <w:spacing w:val="1"/>
              </w:rPr>
              <w:t>&gt;3.0</w:t>
            </w:r>
          </w:p>
        </w:tc>
      </w:tr>
      <w:tr w14:paraId="4EBD0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32" w:type="dxa"/>
            <w:vAlign w:val="top"/>
          </w:tcPr>
          <w:p w14:paraId="2D514B50">
            <w:pPr>
              <w:pStyle w:val="4"/>
              <w:spacing w:before="83" w:line="219" w:lineRule="auto"/>
              <w:ind w:left="114"/>
            </w:pPr>
            <w:r>
              <w:rPr>
                <w:spacing w:val="2"/>
              </w:rPr>
              <w:t>主要课程内容</w:t>
            </w:r>
          </w:p>
        </w:tc>
        <w:tc>
          <w:tcPr>
            <w:tcW w:w="6637" w:type="dxa"/>
            <w:vAlign w:val="top"/>
          </w:tcPr>
          <w:p w14:paraId="59CD9CD3">
            <w:pPr>
              <w:pStyle w:val="4"/>
              <w:spacing w:before="83" w:line="219" w:lineRule="auto"/>
              <w:ind w:left="122"/>
            </w:pPr>
            <w:r>
              <w:t>学术英语、英国文化及大学体验课</w:t>
            </w:r>
          </w:p>
        </w:tc>
      </w:tr>
      <w:tr w14:paraId="25419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332" w:type="dxa"/>
            <w:vAlign w:val="top"/>
          </w:tcPr>
          <w:p w14:paraId="20D2C56E">
            <w:pPr>
              <w:spacing w:line="254" w:lineRule="auto"/>
              <w:rPr>
                <w:rFonts w:ascii="Arial"/>
                <w:sz w:val="21"/>
              </w:rPr>
            </w:pPr>
          </w:p>
          <w:p w14:paraId="3F6D36B8">
            <w:pPr>
              <w:spacing w:line="254" w:lineRule="auto"/>
              <w:rPr>
                <w:rFonts w:ascii="Arial"/>
                <w:sz w:val="21"/>
              </w:rPr>
            </w:pPr>
          </w:p>
          <w:p w14:paraId="06313843">
            <w:pPr>
              <w:spacing w:line="254" w:lineRule="auto"/>
              <w:rPr>
                <w:rFonts w:ascii="Arial"/>
                <w:sz w:val="21"/>
              </w:rPr>
            </w:pPr>
          </w:p>
          <w:p w14:paraId="13AF0B09">
            <w:pPr>
              <w:pStyle w:val="4"/>
              <w:spacing w:before="78" w:line="220" w:lineRule="auto"/>
              <w:ind w:left="114"/>
            </w:pPr>
            <w:r>
              <w:rPr>
                <w:spacing w:val="-2"/>
              </w:rPr>
              <w:t>游学形式</w:t>
            </w:r>
          </w:p>
        </w:tc>
        <w:tc>
          <w:tcPr>
            <w:tcW w:w="6637" w:type="dxa"/>
            <w:vAlign w:val="top"/>
          </w:tcPr>
          <w:p w14:paraId="4FD949C9">
            <w:pPr>
              <w:pStyle w:val="4"/>
              <w:spacing w:before="65" w:line="236" w:lineRule="auto"/>
              <w:ind w:left="12" w:firstLine="58"/>
              <w:jc w:val="both"/>
            </w:pPr>
            <w:r>
              <w:t>课堂教学+工作坊+英国文化、名校游；课程主要为学术英语、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英国文化及大学体验课，文化参访内容包括英国伦敦大学学院、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牛津大学、剑桥大学、伦敦国王学院、帝国理工大学、曼彻斯特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大学、莱斯特大学等顶级名校，体验英国白金汉宫、大英博物馆、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康桥泛舟、探访丝路小镇-麦克斯菲尔等著名文化景观及人文体</w:t>
            </w:r>
            <w:r>
              <w:rPr>
                <w:spacing w:val="8"/>
              </w:rPr>
              <w:t xml:space="preserve">  </w:t>
            </w:r>
            <w:r>
              <w:rPr>
                <w:spacing w:val="36"/>
              </w:rPr>
              <w:t>验。</w:t>
            </w:r>
          </w:p>
        </w:tc>
      </w:tr>
      <w:tr w14:paraId="37321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32" w:type="dxa"/>
            <w:vAlign w:val="top"/>
          </w:tcPr>
          <w:p w14:paraId="3F95A707">
            <w:pPr>
              <w:pStyle w:val="4"/>
              <w:spacing w:before="208" w:line="219" w:lineRule="auto"/>
              <w:ind w:left="114"/>
            </w:pPr>
            <w:r>
              <w:rPr>
                <w:spacing w:val="4"/>
              </w:rPr>
              <w:t>人均预算费用</w:t>
            </w:r>
          </w:p>
        </w:tc>
        <w:tc>
          <w:tcPr>
            <w:tcW w:w="6637" w:type="dxa"/>
            <w:vAlign w:val="top"/>
          </w:tcPr>
          <w:p w14:paraId="4B62D13A">
            <w:pPr>
              <w:pStyle w:val="4"/>
              <w:spacing w:before="57" w:line="216" w:lineRule="auto"/>
              <w:ind w:left="122" w:right="121" w:firstLine="10"/>
            </w:pPr>
            <w:r>
              <w:t>约5.88万元人民币左右(不含在英期间午餐费，不含往返武汉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所需差旅费)</w:t>
            </w:r>
          </w:p>
        </w:tc>
      </w:tr>
      <w:tr w14:paraId="15668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32" w:type="dxa"/>
            <w:vAlign w:val="top"/>
          </w:tcPr>
          <w:p w14:paraId="06E2EAC0">
            <w:pPr>
              <w:pStyle w:val="4"/>
              <w:spacing w:before="210" w:line="221" w:lineRule="auto"/>
              <w:ind w:left="114"/>
            </w:pPr>
            <w:r>
              <w:rPr>
                <w:spacing w:val="6"/>
              </w:rPr>
              <w:t>备注</w:t>
            </w:r>
          </w:p>
        </w:tc>
        <w:tc>
          <w:tcPr>
            <w:tcW w:w="6637" w:type="dxa"/>
            <w:vAlign w:val="top"/>
          </w:tcPr>
          <w:p w14:paraId="208F4086">
            <w:pPr>
              <w:pStyle w:val="4"/>
              <w:spacing w:before="49" w:line="225" w:lineRule="auto"/>
              <w:ind w:left="113" w:right="74" w:firstLine="79"/>
            </w:pPr>
            <w:r>
              <w:t>项目学生可注册UCL短期学生系统，享受所有校内共享资源。 项目结束后，学生可获由游学高校提供的项目结业证书。</w:t>
            </w:r>
          </w:p>
        </w:tc>
      </w:tr>
    </w:tbl>
    <w:p w14:paraId="623BCA5E">
      <w:pPr>
        <w:spacing w:before="59"/>
      </w:pPr>
    </w:p>
    <w:p w14:paraId="6DAD9A3C">
      <w:pPr>
        <w:spacing w:before="59"/>
      </w:pPr>
    </w:p>
    <w:p w14:paraId="1E9D05BE">
      <w:pPr>
        <w:spacing w:before="58"/>
      </w:pPr>
    </w:p>
    <w:p w14:paraId="37146213">
      <w:pPr>
        <w:spacing w:before="58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6657"/>
      </w:tblGrid>
      <w:tr w14:paraId="412F4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32" w:type="dxa"/>
            <w:vAlign w:val="top"/>
          </w:tcPr>
          <w:p w14:paraId="4735005B">
            <w:pPr>
              <w:pStyle w:val="4"/>
              <w:spacing w:before="111" w:line="219" w:lineRule="auto"/>
              <w:ind w:left="118"/>
            </w:pPr>
            <w:r>
              <w:rPr>
                <w:b/>
                <w:bCs/>
                <w:spacing w:val="-5"/>
              </w:rPr>
              <w:t>游学高校</w:t>
            </w:r>
          </w:p>
        </w:tc>
        <w:tc>
          <w:tcPr>
            <w:tcW w:w="6657" w:type="dxa"/>
            <w:vAlign w:val="top"/>
          </w:tcPr>
          <w:p w14:paraId="72B61098">
            <w:pPr>
              <w:pStyle w:val="4"/>
              <w:spacing w:before="112" w:line="220" w:lineRule="auto"/>
              <w:ind w:left="2286"/>
            </w:pPr>
            <w:r>
              <w:rPr>
                <w:b/>
                <w:bCs/>
                <w:spacing w:val="-4"/>
              </w:rPr>
              <w:t>新加坡南洋理工大学</w:t>
            </w:r>
          </w:p>
        </w:tc>
      </w:tr>
      <w:tr w14:paraId="5BED6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332" w:type="dxa"/>
            <w:vAlign w:val="top"/>
          </w:tcPr>
          <w:p w14:paraId="6A2C4296">
            <w:pPr>
              <w:pStyle w:val="4"/>
              <w:spacing w:before="109" w:line="219" w:lineRule="auto"/>
              <w:ind w:left="114"/>
            </w:pPr>
            <w:r>
              <w:rPr>
                <w:spacing w:val="3"/>
              </w:rPr>
              <w:t>项目拟实施时间</w:t>
            </w:r>
          </w:p>
        </w:tc>
        <w:tc>
          <w:tcPr>
            <w:tcW w:w="6657" w:type="dxa"/>
            <w:vAlign w:val="top"/>
          </w:tcPr>
          <w:p w14:paraId="33CEC6AF">
            <w:pPr>
              <w:pStyle w:val="4"/>
              <w:spacing w:before="111" w:line="219" w:lineRule="auto"/>
              <w:ind w:left="1912"/>
            </w:pPr>
            <w:r>
              <w:rPr>
                <w:spacing w:val="1"/>
              </w:rPr>
              <w:t>2025年暑期，时长3周左右</w:t>
            </w:r>
          </w:p>
        </w:tc>
      </w:tr>
      <w:tr w14:paraId="69058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32" w:type="dxa"/>
            <w:vAlign w:val="top"/>
          </w:tcPr>
          <w:p w14:paraId="7A93B6AB">
            <w:pPr>
              <w:pStyle w:val="4"/>
              <w:spacing w:before="203" w:line="221" w:lineRule="auto"/>
              <w:ind w:left="114"/>
            </w:pPr>
            <w:r>
              <w:rPr>
                <w:spacing w:val="2"/>
              </w:rPr>
              <w:t>面向学生</w:t>
            </w:r>
          </w:p>
        </w:tc>
        <w:tc>
          <w:tcPr>
            <w:tcW w:w="6657" w:type="dxa"/>
            <w:vAlign w:val="top"/>
          </w:tcPr>
          <w:p w14:paraId="4AC8D5C3">
            <w:pPr>
              <w:pStyle w:val="4"/>
              <w:spacing w:before="40" w:line="222" w:lineRule="auto"/>
              <w:ind w:left="132" w:hanging="9"/>
            </w:pPr>
            <w:r>
              <w:rPr>
                <w:spacing w:val="-7"/>
              </w:rPr>
              <w:t>专业不限，英语口语和写作达到学术水平，有托福和雅思成</w:t>
            </w:r>
            <w:r>
              <w:rPr>
                <w:spacing w:val="-8"/>
              </w:rPr>
              <w:t>绩者</w:t>
            </w:r>
            <w:r>
              <w:t xml:space="preserve"> </w:t>
            </w:r>
            <w:r>
              <w:rPr>
                <w:spacing w:val="1"/>
              </w:rPr>
              <w:t>优先，</w:t>
            </w:r>
            <w:r>
              <w:t>GPA</w:t>
            </w:r>
            <w:r>
              <w:rPr>
                <w:spacing w:val="1"/>
              </w:rPr>
              <w:t>&gt;3.0</w:t>
            </w:r>
          </w:p>
        </w:tc>
      </w:tr>
      <w:tr w14:paraId="2BC7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332" w:type="dxa"/>
            <w:vAlign w:val="top"/>
          </w:tcPr>
          <w:p w14:paraId="574A4DBC">
            <w:pPr>
              <w:pStyle w:val="4"/>
              <w:spacing w:before="113" w:line="219" w:lineRule="auto"/>
              <w:ind w:left="114"/>
            </w:pPr>
            <w:r>
              <w:rPr>
                <w:spacing w:val="2"/>
              </w:rPr>
              <w:t>主要课程内容</w:t>
            </w:r>
          </w:p>
        </w:tc>
        <w:tc>
          <w:tcPr>
            <w:tcW w:w="6657" w:type="dxa"/>
            <w:vAlign w:val="top"/>
          </w:tcPr>
          <w:p w14:paraId="3E131CF6">
            <w:pPr>
              <w:pStyle w:val="4"/>
              <w:spacing w:before="112" w:line="219" w:lineRule="auto"/>
              <w:ind w:left="143"/>
            </w:pPr>
            <w:r>
              <w:rPr>
                <w:spacing w:val="1"/>
              </w:rPr>
              <w:t>商科、人文社科</w:t>
            </w:r>
          </w:p>
        </w:tc>
      </w:tr>
      <w:tr w14:paraId="1A23A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2332" w:type="dxa"/>
            <w:vAlign w:val="top"/>
          </w:tcPr>
          <w:p w14:paraId="279B417B">
            <w:pPr>
              <w:spacing w:line="444" w:lineRule="auto"/>
              <w:rPr>
                <w:rFonts w:ascii="Arial"/>
                <w:sz w:val="21"/>
              </w:rPr>
            </w:pPr>
          </w:p>
          <w:p w14:paraId="470F2D90">
            <w:pPr>
              <w:pStyle w:val="4"/>
              <w:spacing w:before="78" w:line="220" w:lineRule="auto"/>
              <w:ind w:left="114"/>
            </w:pPr>
            <w:r>
              <w:rPr>
                <w:spacing w:val="-2"/>
              </w:rPr>
              <w:t>游学形式</w:t>
            </w:r>
          </w:p>
        </w:tc>
        <w:tc>
          <w:tcPr>
            <w:tcW w:w="6657" w:type="dxa"/>
            <w:vAlign w:val="top"/>
          </w:tcPr>
          <w:p w14:paraId="4CB3984D">
            <w:pPr>
              <w:pStyle w:val="4"/>
              <w:spacing w:before="55" w:line="233" w:lineRule="auto"/>
              <w:ind w:left="113" w:firstLine="19"/>
              <w:jc w:val="both"/>
            </w:pPr>
            <w:r>
              <w:rPr>
                <w:spacing w:val="-4"/>
              </w:rPr>
              <w:t>课堂教学+工作坊+新加坡文化、名校游；课程主要为通识教育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课程及探讨前沿课题，文化参访内容包括新加坡南洋理工大学、</w:t>
            </w:r>
            <w:r>
              <w:rPr>
                <w:spacing w:val="8"/>
              </w:rPr>
              <w:t xml:space="preserve"> </w:t>
            </w:r>
            <w:r>
              <w:rPr>
                <w:spacing w:val="-11"/>
              </w:rPr>
              <w:t>新加坡国立大学、新加坡科技设计大学等顶级名校，体验鱼尾狮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公园、国家博物馆等著名文化景观及人文体</w:t>
            </w:r>
            <w:r>
              <w:rPr>
                <w:spacing w:val="-4"/>
              </w:rPr>
              <w:t>验。</w:t>
            </w:r>
          </w:p>
        </w:tc>
      </w:tr>
      <w:tr w14:paraId="43C2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32" w:type="dxa"/>
            <w:vAlign w:val="top"/>
          </w:tcPr>
          <w:p w14:paraId="2CD79EF1">
            <w:pPr>
              <w:pStyle w:val="4"/>
              <w:spacing w:before="208" w:line="219" w:lineRule="auto"/>
              <w:ind w:left="114"/>
            </w:pPr>
            <w:r>
              <w:rPr>
                <w:spacing w:val="4"/>
              </w:rPr>
              <w:t>人均预算费用</w:t>
            </w:r>
          </w:p>
        </w:tc>
        <w:tc>
          <w:tcPr>
            <w:tcW w:w="6657" w:type="dxa"/>
            <w:vAlign w:val="top"/>
          </w:tcPr>
          <w:p w14:paraId="00B22E0C">
            <w:pPr>
              <w:pStyle w:val="4"/>
              <w:spacing w:before="55" w:line="220" w:lineRule="auto"/>
              <w:ind w:left="133" w:right="28" w:hanging="10"/>
            </w:pPr>
            <w:r>
              <w:t>约5万元人民币左右(不含在新期间午餐费，不含往返武汉所需</w:t>
            </w:r>
            <w:r>
              <w:rPr>
                <w:spacing w:val="14"/>
              </w:rPr>
              <w:t xml:space="preserve"> </w:t>
            </w:r>
            <w:r>
              <w:rPr>
                <w:spacing w:val="13"/>
              </w:rPr>
              <w:t>差旅费)</w:t>
            </w:r>
          </w:p>
        </w:tc>
      </w:tr>
      <w:tr w14:paraId="11E6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332" w:type="dxa"/>
            <w:vAlign w:val="top"/>
          </w:tcPr>
          <w:p w14:paraId="2BB07AC2">
            <w:pPr>
              <w:pStyle w:val="4"/>
              <w:spacing w:before="121" w:line="221" w:lineRule="auto"/>
              <w:ind w:left="114"/>
            </w:pPr>
            <w:r>
              <w:rPr>
                <w:spacing w:val="6"/>
              </w:rPr>
              <w:t>备注</w:t>
            </w:r>
          </w:p>
        </w:tc>
        <w:tc>
          <w:tcPr>
            <w:tcW w:w="6657" w:type="dxa"/>
            <w:vAlign w:val="top"/>
          </w:tcPr>
          <w:p w14:paraId="59DB87F1">
            <w:pPr>
              <w:pStyle w:val="4"/>
              <w:spacing w:before="118" w:line="219" w:lineRule="auto"/>
              <w:ind w:left="123"/>
            </w:pPr>
            <w:r>
              <w:t>项目结束后，学生可获由游学高校提供的项目结业证书。</w:t>
            </w:r>
          </w:p>
        </w:tc>
      </w:tr>
    </w:tbl>
    <w:p w14:paraId="7EFA2F35">
      <w:pPr>
        <w:spacing w:before="243" w:line="219" w:lineRule="auto"/>
        <w:ind w:left="334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1910" w:h="16850"/>
          <w:pgMar w:top="1432" w:right="1465" w:bottom="1637" w:left="1435" w:header="0" w:footer="1248" w:gutter="0"/>
          <w:cols w:space="720" w:num="1"/>
        </w:sectPr>
      </w:pPr>
      <w:r>
        <w:rPr>
          <w:rFonts w:ascii="宋体" w:hAnsi="宋体" w:eastAsia="宋体" w:cs="宋体"/>
          <w:spacing w:val="1"/>
          <w:sz w:val="20"/>
          <w:szCs w:val="20"/>
        </w:rPr>
        <w:t>备注：申请的学生原则上须已办理护照。</w:t>
      </w:r>
    </w:p>
    <w:p w14:paraId="2FC672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94FD4">
    <w:pPr>
      <w:spacing w:line="233" w:lineRule="auto"/>
      <w:ind w:left="1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64906">
    <w:pPr>
      <w:spacing w:line="233" w:lineRule="auto"/>
      <w:ind w:left="793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jQzMmYwZThiMTE2YzI4MTk4ODgzMzU4NzhiYzQifQ=="/>
  </w:docVars>
  <w:rsids>
    <w:rsidRoot w:val="46096B98"/>
    <w:rsid w:val="460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2025-04-01T08:11:00Z</dcterms:created>
  <dc:creator>石相玉</dc:creator>
  <cp:lastModifiedBy>石相玉</cp:lastModifiedBy>
  <dcterms:modified xsi:type="dcterms:W3CDTF">2025-04-01T08:12:07Z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CDFF6207D45C404E98C68826F7E5E322_11</vt:lpwstr>
  </property>
</Properties>
</file>