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left" w:pos="1890"/>
        </w:tabs>
        <w:adjustRightInd w:val="0"/>
        <w:snapToGrid w:val="0"/>
        <w:spacing w:line="360" w:lineRule="auto"/>
        <w:jc w:val="center"/>
        <w:rPr>
          <w:rFonts w:ascii="仿宋" w:hAnsi="仿宋" w:eastAsia="仿宋" w:cs="华文中宋"/>
          <w:b/>
          <w:bCs/>
          <w:color w:val="000000" w:themeColor="text1"/>
          <w:sz w:val="44"/>
          <w:szCs w:val="44"/>
        </w:rPr>
      </w:pPr>
      <w:r>
        <w:rPr>
          <w:rFonts w:hint="eastAsia" w:ascii="仿宋" w:hAnsi="仿宋" w:eastAsia="仿宋" w:cs="华文中宋"/>
          <w:b/>
          <w:bCs/>
          <w:color w:val="000000" w:themeColor="text1"/>
          <w:sz w:val="44"/>
          <w:szCs w:val="44"/>
        </w:rPr>
        <w:t>湖北师范大学教学工作量化管理办法</w:t>
      </w:r>
    </w:p>
    <w:p>
      <w:pPr>
        <w:spacing w:line="312" w:lineRule="auto"/>
        <w:jc w:val="center"/>
        <w:outlineLvl w:val="1"/>
        <w:rPr>
          <w:rFonts w:ascii="方正黑体简体" w:hAnsi="方正黑体简体" w:eastAsia="方正黑体简体" w:cs="方正黑体简体"/>
          <w:bCs/>
          <w:color w:val="000000" w:themeColor="text1"/>
          <w:kern w:val="28"/>
          <w:sz w:val="32"/>
          <w:szCs w:val="32"/>
        </w:rPr>
      </w:pPr>
    </w:p>
    <w:p>
      <w:pPr>
        <w:spacing w:line="312" w:lineRule="auto"/>
        <w:jc w:val="center"/>
        <w:outlineLvl w:val="1"/>
        <w:rPr>
          <w:rFonts w:ascii="方正黑体简体" w:hAnsi="方正黑体简体" w:eastAsia="方正黑体简体" w:cs="方正黑体简体"/>
          <w:bCs/>
          <w:color w:val="000000" w:themeColor="text1"/>
          <w:kern w:val="28"/>
          <w:sz w:val="28"/>
          <w:szCs w:val="28"/>
        </w:rPr>
      </w:pPr>
      <w:r>
        <w:rPr>
          <w:rFonts w:hint="eastAsia" w:ascii="方正黑体简体" w:hAnsi="方正黑体简体" w:eastAsia="方正黑体简体" w:cs="方正黑体简体"/>
          <w:bCs/>
          <w:color w:val="000000" w:themeColor="text1"/>
          <w:kern w:val="28"/>
          <w:sz w:val="28"/>
          <w:szCs w:val="28"/>
        </w:rPr>
        <w:t>第一章   总则</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方正黑体简体" w:hAnsi="方正黑体简体" w:eastAsia="方正黑体简体" w:cs="方正黑体简体"/>
          <w:color w:val="000000" w:themeColor="text1"/>
          <w:sz w:val="28"/>
          <w:szCs w:val="28"/>
        </w:rPr>
        <w:t>第一条</w:t>
      </w:r>
      <w:r>
        <w:rPr>
          <w:rFonts w:hint="eastAsia" w:ascii="仿宋_GB2312" w:hAnsi="仿宋_GB2312" w:eastAsia="仿宋_GB2312" w:cs="仿宋_GB2312"/>
          <w:b/>
          <w:color w:val="000000" w:themeColor="text1"/>
          <w:sz w:val="28"/>
          <w:szCs w:val="28"/>
        </w:rPr>
        <w:t xml:space="preserve">  </w:t>
      </w:r>
      <w:r>
        <w:rPr>
          <w:rFonts w:hint="eastAsia" w:ascii="仿宋_GB2312" w:hAnsi="仿宋_GB2312" w:eastAsia="仿宋_GB2312" w:cs="仿宋_GB2312"/>
          <w:color w:val="000000" w:themeColor="text1"/>
          <w:sz w:val="28"/>
          <w:szCs w:val="28"/>
        </w:rPr>
        <w:t>为规范学校的教学工作，突出教学工作的中心地位，充分调动广大教师从事教学工作的积极性和主动性，准确反映教师承担教学任务的数量和质量，使我校教学考核工作更加客观、公正，结合我校实际，特制定本办法。</w:t>
      </w:r>
    </w:p>
    <w:p>
      <w:pPr>
        <w:tabs>
          <w:tab w:val="left" w:pos="1260"/>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方正黑体简体" w:hAnsi="方正黑体简体" w:eastAsia="方正黑体简体" w:cs="方正黑体简体"/>
          <w:color w:val="000000" w:themeColor="text1"/>
          <w:sz w:val="28"/>
          <w:szCs w:val="28"/>
        </w:rPr>
        <w:t>第二条</w:t>
      </w:r>
      <w:r>
        <w:rPr>
          <w:rFonts w:hint="eastAsia" w:ascii="仿宋_GB2312" w:hAnsi="仿宋_GB2312" w:eastAsia="仿宋_GB2312" w:cs="仿宋_GB2312"/>
          <w:b/>
          <w:color w:val="000000" w:themeColor="text1"/>
          <w:sz w:val="28"/>
          <w:szCs w:val="28"/>
        </w:rPr>
        <w:t xml:space="preserve">  </w:t>
      </w:r>
      <w:r>
        <w:rPr>
          <w:rFonts w:hint="eastAsia" w:ascii="仿宋_GB2312" w:hAnsi="仿宋_GB2312" w:eastAsia="仿宋_GB2312" w:cs="仿宋_GB2312"/>
          <w:color w:val="000000" w:themeColor="text1"/>
          <w:sz w:val="28"/>
          <w:szCs w:val="28"/>
        </w:rPr>
        <w:t>本办法适用于我校在职各类专任教师及其他系列专业技术人员从事教学及教学相关工作的量化考核与管理，是我校教师教学业务考核与职称评聘的重要依据。其他各类外聘教学人员的考核与管理可参照本办法执行。</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方正黑体简体" w:hAnsi="方正黑体简体" w:eastAsia="方正黑体简体" w:cs="方正黑体简体"/>
          <w:color w:val="000000" w:themeColor="text1"/>
          <w:sz w:val="28"/>
          <w:szCs w:val="28"/>
        </w:rPr>
        <w:t>第三条</w:t>
      </w:r>
      <w:r>
        <w:rPr>
          <w:rFonts w:hint="eastAsia" w:ascii="仿宋_GB2312" w:hAnsi="仿宋_GB2312" w:eastAsia="仿宋_GB2312" w:cs="仿宋_GB2312"/>
          <w:color w:val="000000" w:themeColor="text1"/>
          <w:sz w:val="28"/>
          <w:szCs w:val="28"/>
        </w:rPr>
        <w:t xml:space="preserve">  本办法所指教学工作量统计范围，只包括我校教师按照“教学任务书”要求，由教师所在学院安排的，在我校各二级学院承担的全日制本专科生、留学生的各类教学工作。研究生教学工作量另按《湖北师范大学研究生教育教学工作量计算办法》执行。属个人行为的授课不在统计之列。</w:t>
      </w:r>
    </w:p>
    <w:p>
      <w:pPr>
        <w:spacing w:line="312" w:lineRule="auto"/>
        <w:jc w:val="center"/>
        <w:outlineLvl w:val="1"/>
        <w:rPr>
          <w:rFonts w:ascii="方正黑体简体" w:hAnsi="方正黑体简体" w:eastAsia="方正黑体简体" w:cs="方正黑体简体"/>
          <w:bCs/>
          <w:color w:val="000000" w:themeColor="text1"/>
          <w:kern w:val="28"/>
          <w:sz w:val="28"/>
          <w:szCs w:val="28"/>
        </w:rPr>
      </w:pPr>
    </w:p>
    <w:p>
      <w:pPr>
        <w:spacing w:line="312" w:lineRule="auto"/>
        <w:jc w:val="center"/>
        <w:outlineLvl w:val="1"/>
        <w:rPr>
          <w:rFonts w:ascii="方正黑体简体" w:hAnsi="方正黑体简体" w:eastAsia="方正黑体简体" w:cs="方正黑体简体"/>
          <w:bCs/>
          <w:color w:val="000000" w:themeColor="text1"/>
          <w:kern w:val="28"/>
          <w:sz w:val="28"/>
          <w:szCs w:val="28"/>
        </w:rPr>
      </w:pPr>
      <w:r>
        <w:rPr>
          <w:rFonts w:hint="eastAsia" w:ascii="方正黑体简体" w:hAnsi="方正黑体简体" w:eastAsia="方正黑体简体" w:cs="方正黑体简体"/>
          <w:bCs/>
          <w:color w:val="000000" w:themeColor="text1"/>
          <w:kern w:val="28"/>
          <w:sz w:val="28"/>
          <w:szCs w:val="28"/>
        </w:rPr>
        <w:t>第二章   教学工作量计算办法</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方正黑体简体" w:hAnsi="方正黑体简体" w:eastAsia="方正黑体简体" w:cs="方正黑体简体"/>
          <w:color w:val="000000" w:themeColor="text1"/>
          <w:sz w:val="28"/>
          <w:szCs w:val="28"/>
        </w:rPr>
        <w:t>第四条</w:t>
      </w:r>
      <w:r>
        <w:rPr>
          <w:rFonts w:hint="eastAsia" w:ascii="仿宋_GB2312" w:hAnsi="仿宋_GB2312" w:eastAsia="仿宋_GB2312" w:cs="仿宋_GB2312"/>
          <w:color w:val="000000" w:themeColor="text1"/>
          <w:sz w:val="28"/>
          <w:szCs w:val="28"/>
        </w:rPr>
        <w:t xml:space="preserve">  教师的教学工作量由以下二个方面构成:</w:t>
      </w:r>
    </w:p>
    <w:p>
      <w:pPr>
        <w:tabs>
          <w:tab w:val="left" w:pos="1785"/>
        </w:tabs>
        <w:adjustRightInd w:val="0"/>
        <w:snapToGrid w:val="0"/>
        <w:spacing w:line="560" w:lineRule="exact"/>
        <w:ind w:right="23"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1、基本教学工作量。</w:t>
      </w:r>
      <w:r>
        <w:rPr>
          <w:rFonts w:hint="eastAsia" w:ascii="仿宋_GB2312" w:hAnsi="仿宋_GB2312" w:eastAsia="仿宋_GB2312" w:cs="仿宋_GB2312"/>
          <w:color w:val="000000" w:themeColor="text1"/>
          <w:sz w:val="28"/>
          <w:szCs w:val="28"/>
        </w:rPr>
        <w:t>指完成《人才培养方案》（含辅修）中规定的各类课程教学的工作量，由以下两部分构成：</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（1）课堂教学工作。包括各类理论课和实践课（含实验课）；</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实践教学工作。包括毕业实习指导（教育实习、专业实习）、专业或课程见习指导、毕业论文（设计）指导、综合课程实践、科技创新指导、职业技能培训、科普教育活动、社会实践活动、学生社团活动、艺术创作实践的组织与指导等；</w:t>
      </w:r>
    </w:p>
    <w:p>
      <w:pPr>
        <w:tabs>
          <w:tab w:val="left" w:pos="1785"/>
        </w:tabs>
        <w:adjustRightInd w:val="0"/>
        <w:snapToGrid w:val="0"/>
        <w:spacing w:line="560" w:lineRule="exact"/>
        <w:ind w:right="23"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2、其他教学工作量。</w:t>
      </w:r>
      <w:r>
        <w:rPr>
          <w:rFonts w:hint="eastAsia" w:ascii="仿宋_GB2312" w:hAnsi="仿宋_GB2312" w:eastAsia="仿宋_GB2312" w:cs="仿宋_GB2312"/>
          <w:color w:val="000000" w:themeColor="text1"/>
          <w:sz w:val="28"/>
          <w:szCs w:val="28"/>
        </w:rPr>
        <w:t xml:space="preserve">指除《人才培养方案》中规定的课程教学外的其他教学活动工作量，属于课外教学工作量的部分，由以下几部分构成： </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（1）教学质量工程建设。包括承担或参与本科教学质量工程项目建设、专业建设、在线课程建设、课程改革项目、实验室建设与教学信息化管理等工作；</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 教学研究项目。包括承担或参与各级各类教学研究项目；</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（3）教学竞赛获奖。包括指导学生参与竞赛的获奖和个人教学能力竞赛获奖等； </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（4）考试、考务工作。包括各类考试命题、阅卷、学校组织的期末考试（不含正常教学周内的随堂考试）、毕业前一次性补考、大学英语等级考试、国家教师资格考试、计算机等级考试等各类监考工作量；</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（5）教育教学活动。包括参与</w:t>
      </w:r>
      <w:bookmarkStart w:id="0" w:name="_Hlk508962283"/>
      <w:r>
        <w:rPr>
          <w:rFonts w:hint="eastAsia" w:ascii="仿宋_GB2312" w:hAnsi="仿宋_GB2312" w:eastAsia="仿宋_GB2312" w:cs="仿宋_GB2312"/>
          <w:color w:val="000000" w:themeColor="text1"/>
          <w:sz w:val="28"/>
          <w:szCs w:val="28"/>
        </w:rPr>
        <w:t>学生学业指导帮扶</w:t>
      </w:r>
      <w:bookmarkEnd w:id="0"/>
      <w:r>
        <w:rPr>
          <w:rFonts w:hint="eastAsia" w:ascii="仿宋_GB2312" w:hAnsi="仿宋_GB2312" w:eastAsia="仿宋_GB2312" w:cs="仿宋_GB2312"/>
          <w:color w:val="000000" w:themeColor="text1"/>
          <w:sz w:val="28"/>
          <w:szCs w:val="28"/>
        </w:rPr>
        <w:t>、青年教师指导、班主任工作、学生心理健康辅导、教学督导等教育教学活动。</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方正黑体简体" w:hAnsi="方正黑体简体" w:eastAsia="方正黑体简体" w:cs="方正黑体简体"/>
          <w:color w:val="000000" w:themeColor="text1"/>
          <w:sz w:val="28"/>
          <w:szCs w:val="28"/>
        </w:rPr>
        <w:t>第五条</w:t>
      </w:r>
      <w:r>
        <w:rPr>
          <w:rFonts w:hint="eastAsia" w:ascii="仿宋_GB2312" w:hAnsi="仿宋_GB2312" w:eastAsia="仿宋_GB2312" w:cs="仿宋_GB2312"/>
          <w:color w:val="000000" w:themeColor="text1"/>
          <w:sz w:val="28"/>
          <w:szCs w:val="28"/>
        </w:rPr>
        <w:t xml:space="preserve">  教师教学工作量以标准学时为计算单位，1个标准学时为完成一个标准课堂（见表2）规定的各个教学环节（含备、教、辅、批、考）所需工作量，记为一个标准分。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各类教学工作量按本办法第六条折合为标准学时（即标准分）进行量化。其中，各类项目、竞赛的级别按相关文件或发证单位进行认定。多人合作完成的各类教学工作量（项目）均按以下“合作权重表”（见表1）分解计分。</w:t>
      </w:r>
    </w:p>
    <w:p>
      <w:pPr>
        <w:tabs>
          <w:tab w:val="left" w:pos="1785"/>
        </w:tabs>
        <w:adjustRightInd w:val="0"/>
        <w:snapToGrid w:val="0"/>
        <w:spacing w:beforeLines="50" w:line="560" w:lineRule="exact"/>
        <w:jc w:val="center"/>
        <w:rPr>
          <w:rFonts w:ascii="楷体_GB2312" w:hAnsi="楷体_GB2312" w:eastAsia="楷体_GB2312" w:cs="楷体_GB2312"/>
          <w:color w:val="000000" w:themeColor="text1"/>
          <w:sz w:val="28"/>
          <w:szCs w:val="28"/>
        </w:rPr>
      </w:pPr>
      <w:r>
        <w:rPr>
          <w:rFonts w:hint="eastAsia" w:ascii="楷体_GB2312" w:hAnsi="楷体_GB2312" w:eastAsia="楷体_GB2312" w:cs="楷体_GB2312"/>
          <w:color w:val="000000" w:themeColor="text1"/>
          <w:sz w:val="28"/>
          <w:szCs w:val="28"/>
        </w:rPr>
        <w:t>表1 合作权重表</w:t>
      </w:r>
    </w:p>
    <w:tbl>
      <w:tblPr>
        <w:tblStyle w:val="9"/>
        <w:tblW w:w="850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676"/>
        <w:gridCol w:w="1717"/>
        <w:gridCol w:w="1700"/>
        <w:gridCol w:w="1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574"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人数\排序</w:t>
            </w:r>
          </w:p>
        </w:tc>
        <w:tc>
          <w:tcPr>
            <w:tcW w:w="1676"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第一</w:t>
            </w:r>
          </w:p>
        </w:tc>
        <w:tc>
          <w:tcPr>
            <w:tcW w:w="1717"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第二</w:t>
            </w:r>
          </w:p>
        </w:tc>
        <w:tc>
          <w:tcPr>
            <w:tcW w:w="1700"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第三</w:t>
            </w:r>
          </w:p>
        </w:tc>
        <w:tc>
          <w:tcPr>
            <w:tcW w:w="1837"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第四及以后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74"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二人</w:t>
            </w:r>
          </w:p>
        </w:tc>
        <w:tc>
          <w:tcPr>
            <w:tcW w:w="1676"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w:t>
            </w:r>
          </w:p>
        </w:tc>
        <w:tc>
          <w:tcPr>
            <w:tcW w:w="1717"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0.3</w:t>
            </w:r>
          </w:p>
        </w:tc>
        <w:tc>
          <w:tcPr>
            <w:tcW w:w="1700"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c>
          <w:tcPr>
            <w:tcW w:w="1837"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574"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三人</w:t>
            </w:r>
          </w:p>
        </w:tc>
        <w:tc>
          <w:tcPr>
            <w:tcW w:w="1676"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w:t>
            </w:r>
          </w:p>
        </w:tc>
        <w:tc>
          <w:tcPr>
            <w:tcW w:w="1717"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0.2</w:t>
            </w:r>
          </w:p>
        </w:tc>
        <w:tc>
          <w:tcPr>
            <w:tcW w:w="1700"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0.1</w:t>
            </w:r>
          </w:p>
        </w:tc>
        <w:tc>
          <w:tcPr>
            <w:tcW w:w="1837"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574"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三人以上</w:t>
            </w:r>
          </w:p>
        </w:tc>
        <w:tc>
          <w:tcPr>
            <w:tcW w:w="1676"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w:t>
            </w:r>
          </w:p>
        </w:tc>
        <w:tc>
          <w:tcPr>
            <w:tcW w:w="1717"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0.2</w:t>
            </w:r>
          </w:p>
        </w:tc>
        <w:tc>
          <w:tcPr>
            <w:tcW w:w="1700"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0.1</w:t>
            </w:r>
          </w:p>
        </w:tc>
        <w:tc>
          <w:tcPr>
            <w:tcW w:w="1837" w:type="dxa"/>
            <w:tcBorders>
              <w:tl2br w:val="nil"/>
              <w:tr2bl w:val="nil"/>
            </w:tcBorders>
            <w:shd w:val="clear" w:color="auto" w:fill="auto"/>
            <w:vAlign w:val="center"/>
          </w:tcPr>
          <w:p>
            <w:pPr>
              <w:tabs>
                <w:tab w:val="left" w:pos="1260"/>
                <w:tab w:val="left" w:pos="1575"/>
              </w:tabs>
              <w:adjustRightInd w:val="0"/>
              <w:snapToGrid w:val="0"/>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0.1</w:t>
            </w:r>
          </w:p>
        </w:tc>
      </w:tr>
    </w:tbl>
    <w:p>
      <w:pPr>
        <w:tabs>
          <w:tab w:val="left" w:pos="1785"/>
        </w:tabs>
        <w:adjustRightInd w:val="0"/>
        <w:snapToGrid w:val="0"/>
        <w:spacing w:afterLines="50" w:line="560" w:lineRule="exact"/>
        <w:ind w:firstLine="560" w:firstLineChars="200"/>
        <w:jc w:val="left"/>
        <w:rPr>
          <w:rFonts w:ascii="楷体_GB2312" w:hAnsi="楷体_GB2312" w:eastAsia="楷体_GB2312" w:cs="楷体_GB2312"/>
          <w:color w:val="000000" w:themeColor="text1"/>
          <w:sz w:val="28"/>
          <w:szCs w:val="28"/>
        </w:rPr>
      </w:pPr>
      <w:r>
        <w:rPr>
          <w:rFonts w:hint="eastAsia" w:ascii="楷体_GB2312" w:hAnsi="楷体_GB2312" w:eastAsia="楷体_GB2312" w:cs="楷体_GB2312"/>
          <w:color w:val="000000" w:themeColor="text1"/>
          <w:sz w:val="28"/>
          <w:szCs w:val="28"/>
        </w:rPr>
        <w:t>注：有排序的按排序计算，无排序项目按人数平均计算。</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方正黑体简体" w:hAnsi="方正黑体简体" w:eastAsia="方正黑体简体" w:cs="方正黑体简体"/>
          <w:color w:val="000000" w:themeColor="text1"/>
          <w:sz w:val="28"/>
          <w:szCs w:val="28"/>
        </w:rPr>
        <w:t>第六条</w:t>
      </w:r>
      <w:r>
        <w:rPr>
          <w:rFonts w:hint="eastAsia" w:ascii="仿宋_GB2312" w:hAnsi="仿宋_GB2312" w:eastAsia="仿宋_GB2312" w:cs="仿宋_GB2312"/>
          <w:color w:val="000000" w:themeColor="text1"/>
          <w:sz w:val="28"/>
          <w:szCs w:val="28"/>
        </w:rPr>
        <w:t xml:space="preserve"> 各类教学工作量按如下办法计算。</w:t>
      </w:r>
    </w:p>
    <w:p>
      <w:pPr>
        <w:tabs>
          <w:tab w:val="left" w:pos="1785"/>
        </w:tabs>
        <w:adjustRightInd w:val="0"/>
        <w:snapToGrid w:val="0"/>
        <w:spacing w:line="560" w:lineRule="exact"/>
        <w:ind w:right="23" w:firstLine="562" w:firstLineChars="2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1、课堂教学工作量（含实验课）</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各类课堂教学形式（含实验）工作量根据下述计算公式，按授课课堂（授课对象或授课班级）分别计算，每个课堂教学工作量折算为标准课堂学时（Gi，标准分）:</w:t>
      </w:r>
      <w:bookmarkStart w:id="20" w:name="_GoBack"/>
      <w:bookmarkEnd w:id="20"/>
    </w:p>
    <w:tbl>
      <w:tblPr>
        <w:tblStyle w:val="9"/>
        <w:tblW w:w="8887" w:type="dxa"/>
        <w:tblInd w:w="341" w:type="dxa"/>
        <w:tblLayout w:type="fixed"/>
        <w:tblCellMar>
          <w:top w:w="0" w:type="dxa"/>
          <w:left w:w="57" w:type="dxa"/>
          <w:bottom w:w="0" w:type="dxa"/>
          <w:right w:w="57" w:type="dxa"/>
        </w:tblCellMar>
      </w:tblPr>
      <w:tblGrid>
        <w:gridCol w:w="5386"/>
        <w:gridCol w:w="3261"/>
        <w:gridCol w:w="240"/>
      </w:tblGrid>
      <w:tr>
        <w:tblPrEx>
          <w:tblLayout w:type="fixed"/>
          <w:tblCellMar>
            <w:top w:w="0" w:type="dxa"/>
            <w:left w:w="57" w:type="dxa"/>
            <w:bottom w:w="0" w:type="dxa"/>
            <w:right w:w="57" w:type="dxa"/>
          </w:tblCellMar>
        </w:tblPrEx>
        <w:trPr>
          <w:trHeight w:val="406" w:hRule="atLeast"/>
        </w:trPr>
        <w:tc>
          <w:tcPr>
            <w:tcW w:w="5386" w:type="dxa"/>
            <w:vMerge w:val="restart"/>
            <w:shd w:val="clear" w:color="auto" w:fill="auto"/>
            <w:vAlign w:val="center"/>
          </w:tcPr>
          <w:p>
            <w:pPr>
              <w:tabs>
                <w:tab w:val="left" w:pos="1260"/>
                <w:tab w:val="left" w:pos="1575"/>
              </w:tabs>
              <w:adjustRightInd w:val="0"/>
              <w:snapToGrid w:val="0"/>
              <w:jc w:val="right"/>
              <w:rPr>
                <w:rFonts w:ascii="仿宋" w:hAnsi="仿宋" w:eastAsia="仿宋" w:cs="Times New Roman"/>
                <w:color w:val="000000" w:themeColor="text1"/>
                <w:w w:val="85"/>
                <w:position w:val="20"/>
                <w:sz w:val="24"/>
                <w:szCs w:val="24"/>
              </w:rPr>
            </w:pPr>
            <w:r>
              <w:rPr>
                <w:rFonts w:hint="eastAsia" w:ascii="仿宋" w:hAnsi="仿宋" w:eastAsia="仿宋" w:cs="Times New Roman"/>
                <w:color w:val="000000" w:themeColor="text1"/>
                <w:w w:val="85"/>
                <w:sz w:val="24"/>
                <w:szCs w:val="24"/>
              </w:rPr>
              <w:t>Gi = 授课学时</w:t>
            </w:r>
            <w:r>
              <w:rPr>
                <w:rFonts w:hint="eastAsia" w:ascii="仿宋" w:hAnsi="仿宋" w:eastAsia="仿宋" w:cs="Times New Roman"/>
                <w:color w:val="000000" w:themeColor="text1"/>
                <w:sz w:val="24"/>
                <w:szCs w:val="24"/>
              </w:rPr>
              <w:t>(</w:t>
            </w:r>
            <w:r>
              <w:rPr>
                <w:rFonts w:hint="eastAsia" w:ascii="仿宋" w:hAnsi="仿宋" w:eastAsia="仿宋" w:cs="Times New Roman"/>
                <w:color w:val="000000" w:themeColor="text1"/>
                <w:w w:val="85"/>
                <w:sz w:val="24"/>
                <w:szCs w:val="24"/>
              </w:rPr>
              <w:t>M</w:t>
            </w:r>
            <w:r>
              <w:rPr>
                <w:rFonts w:hint="eastAsia" w:ascii="仿宋" w:hAnsi="仿宋" w:eastAsia="仿宋" w:cs="Times New Roman"/>
                <w:color w:val="000000" w:themeColor="text1"/>
                <w:sz w:val="24"/>
                <w:szCs w:val="24"/>
              </w:rPr>
              <w:t>)</w:t>
            </w:r>
            <w:r>
              <w:rPr>
                <w:rFonts w:hint="eastAsia" w:ascii="仿宋" w:hAnsi="仿宋" w:eastAsia="仿宋" w:cs="Times New Roman"/>
                <w:color w:val="000000" w:themeColor="text1"/>
                <w:w w:val="85"/>
                <w:sz w:val="24"/>
                <w:szCs w:val="24"/>
              </w:rPr>
              <w:t>×难度系数</w:t>
            </w:r>
            <w:r>
              <w:rPr>
                <w:rFonts w:hint="eastAsia" w:ascii="仿宋" w:hAnsi="仿宋" w:eastAsia="仿宋" w:cs="Times New Roman"/>
                <w:color w:val="000000" w:themeColor="text1"/>
                <w:sz w:val="24"/>
                <w:szCs w:val="24"/>
              </w:rPr>
              <w:t>(</w:t>
            </w:r>
            <w:r>
              <w:rPr>
                <w:rFonts w:hint="eastAsia" w:ascii="仿宋" w:hAnsi="仿宋" w:eastAsia="仿宋" w:cs="Times New Roman"/>
                <w:color w:val="000000" w:themeColor="text1"/>
                <w:w w:val="85"/>
                <w:sz w:val="24"/>
                <w:szCs w:val="24"/>
              </w:rPr>
              <w:t>N</w:t>
            </w:r>
            <w:r>
              <w:rPr>
                <w:rFonts w:hint="eastAsia" w:ascii="仿宋" w:hAnsi="仿宋" w:eastAsia="仿宋" w:cs="Times New Roman"/>
                <w:color w:val="000000" w:themeColor="text1"/>
                <w:sz w:val="24"/>
                <w:szCs w:val="24"/>
              </w:rPr>
              <w:t>)</w:t>
            </w:r>
            <w:r>
              <w:rPr>
                <w:rFonts w:hint="eastAsia" w:ascii="仿宋" w:hAnsi="仿宋" w:eastAsia="仿宋" w:cs="Times New Roman"/>
                <w:color w:val="000000" w:themeColor="text1"/>
                <w:w w:val="85"/>
                <w:sz w:val="24"/>
                <w:szCs w:val="24"/>
              </w:rPr>
              <w:t>×重复系数</w:t>
            </w:r>
            <w:r>
              <w:rPr>
                <w:rFonts w:hint="eastAsia" w:ascii="仿宋" w:hAnsi="仿宋" w:eastAsia="仿宋" w:cs="Times New Roman"/>
                <w:color w:val="000000" w:themeColor="text1"/>
                <w:sz w:val="24"/>
                <w:szCs w:val="24"/>
              </w:rPr>
              <w:t>(</w:t>
            </w:r>
            <w:r>
              <w:rPr>
                <w:rFonts w:hint="eastAsia" w:ascii="仿宋" w:hAnsi="仿宋" w:eastAsia="仿宋" w:cs="Times New Roman"/>
                <w:color w:val="000000" w:themeColor="text1"/>
                <w:w w:val="85"/>
                <w:sz w:val="24"/>
                <w:szCs w:val="24"/>
              </w:rPr>
              <w:t>F</w:t>
            </w:r>
            <w:r>
              <w:rPr>
                <w:rFonts w:hint="eastAsia" w:ascii="仿宋" w:hAnsi="仿宋" w:eastAsia="仿宋" w:cs="Times New Roman"/>
                <w:color w:val="000000" w:themeColor="text1"/>
                <w:sz w:val="24"/>
                <w:szCs w:val="24"/>
              </w:rPr>
              <w:t>)</w:t>
            </w:r>
            <w:r>
              <w:rPr>
                <w:rFonts w:hint="eastAsia" w:ascii="仿宋" w:hAnsi="仿宋" w:eastAsia="仿宋" w:cs="Times New Roman"/>
                <w:color w:val="000000" w:themeColor="text1"/>
                <w:w w:val="85"/>
                <w:sz w:val="24"/>
                <w:szCs w:val="24"/>
              </w:rPr>
              <w:t>×</w:t>
            </w:r>
            <w:r>
              <w:rPr>
                <w:rFonts w:hint="eastAsia" w:ascii="仿宋" w:hAnsi="仿宋" w:eastAsia="仿宋" w:cs="Times New Roman"/>
                <w:color w:val="000000" w:themeColor="text1"/>
                <w:w w:val="85"/>
                <w:sz w:val="44"/>
                <w:szCs w:val="24"/>
              </w:rPr>
              <w:t>(</w:t>
            </w:r>
            <w:r>
              <w:rPr>
                <w:rFonts w:hint="eastAsia" w:ascii="仿宋" w:hAnsi="仿宋" w:eastAsia="仿宋" w:cs="Times New Roman"/>
                <w:color w:val="000000" w:themeColor="text1"/>
                <w:w w:val="85"/>
                <w:sz w:val="24"/>
                <w:szCs w:val="24"/>
              </w:rPr>
              <w:t>1 +</w:t>
            </w:r>
          </w:p>
        </w:tc>
        <w:tc>
          <w:tcPr>
            <w:tcW w:w="3261" w:type="dxa"/>
            <w:shd w:val="clear" w:color="auto" w:fill="auto"/>
            <w:vAlign w:val="center"/>
          </w:tcPr>
          <w:p>
            <w:pPr>
              <w:tabs>
                <w:tab w:val="left" w:pos="1260"/>
                <w:tab w:val="left" w:pos="1575"/>
              </w:tabs>
              <w:adjustRightInd w:val="0"/>
              <w:snapToGrid w:val="0"/>
              <w:rPr>
                <w:rFonts w:ascii="仿宋" w:hAnsi="仿宋" w:eastAsia="仿宋" w:cs="Times New Roman"/>
                <w:color w:val="000000" w:themeColor="text1"/>
                <w:w w:val="85"/>
                <w:sz w:val="24"/>
                <w:szCs w:val="24"/>
                <w:u w:val="single"/>
              </w:rPr>
            </w:pPr>
            <w:r>
              <w:rPr>
                <w:rFonts w:hint="eastAsia" w:ascii="仿宋" w:hAnsi="仿宋" w:eastAsia="仿宋" w:cs="Times New Roman"/>
                <w:color w:val="000000" w:themeColor="text1"/>
                <w:w w:val="85"/>
                <w:sz w:val="24"/>
                <w:szCs w:val="24"/>
                <w:u w:val="single"/>
              </w:rPr>
              <w:t>上课人数</w:t>
            </w:r>
            <w:r>
              <w:rPr>
                <w:rFonts w:hint="eastAsia" w:ascii="仿宋" w:hAnsi="仿宋" w:eastAsia="仿宋" w:cs="Times New Roman"/>
                <w:color w:val="000000" w:themeColor="text1"/>
                <w:sz w:val="24"/>
                <w:szCs w:val="24"/>
                <w:u w:val="single"/>
              </w:rPr>
              <w:t>(</w:t>
            </w:r>
            <w:r>
              <w:rPr>
                <w:rFonts w:hint="eastAsia" w:ascii="仿宋" w:hAnsi="仿宋" w:eastAsia="仿宋" w:cs="Times New Roman"/>
                <w:color w:val="000000" w:themeColor="text1"/>
                <w:w w:val="85"/>
                <w:sz w:val="24"/>
                <w:szCs w:val="24"/>
                <w:u w:val="single"/>
              </w:rPr>
              <w:t>T</w:t>
            </w:r>
            <w:r>
              <w:rPr>
                <w:rFonts w:hint="eastAsia" w:ascii="仿宋" w:hAnsi="仿宋" w:eastAsia="仿宋" w:cs="Times New Roman"/>
                <w:color w:val="000000" w:themeColor="text1"/>
                <w:sz w:val="24"/>
                <w:szCs w:val="24"/>
                <w:u w:val="single"/>
              </w:rPr>
              <w:t>)</w:t>
            </w:r>
            <w:r>
              <w:rPr>
                <w:rFonts w:hint="eastAsia" w:ascii="仿宋" w:hAnsi="仿宋" w:eastAsia="仿宋" w:cs="Times New Roman"/>
                <w:color w:val="000000" w:themeColor="text1"/>
                <w:w w:val="85"/>
                <w:sz w:val="24"/>
                <w:szCs w:val="24"/>
                <w:u w:val="single"/>
              </w:rPr>
              <w:t>–标准课堂人数(s</w:t>
            </w:r>
            <w:r>
              <w:rPr>
                <w:rFonts w:hint="eastAsia" w:ascii="仿宋" w:hAnsi="仿宋" w:eastAsia="仿宋" w:cs="Times New Roman"/>
                <w:color w:val="000000" w:themeColor="text1"/>
                <w:sz w:val="24"/>
                <w:szCs w:val="24"/>
                <w:u w:val="single"/>
              </w:rPr>
              <w:t>)</w:t>
            </w:r>
          </w:p>
        </w:tc>
        <w:tc>
          <w:tcPr>
            <w:tcW w:w="240" w:type="dxa"/>
            <w:vMerge w:val="restart"/>
            <w:shd w:val="clear" w:color="auto" w:fill="auto"/>
            <w:vAlign w:val="center"/>
          </w:tcPr>
          <w:p>
            <w:pPr>
              <w:tabs>
                <w:tab w:val="left" w:pos="1260"/>
                <w:tab w:val="left" w:pos="1575"/>
              </w:tabs>
              <w:adjustRightInd w:val="0"/>
              <w:snapToGrid w:val="0"/>
              <w:jc w:val="left"/>
              <w:rPr>
                <w:rFonts w:hint="eastAsia" w:ascii="华文仿宋" w:hAnsi="华文仿宋" w:eastAsia="华文仿宋" w:cs="Times New Roman"/>
                <w:color w:val="000000" w:themeColor="text1"/>
                <w:w w:val="85"/>
                <w:sz w:val="24"/>
                <w:szCs w:val="24"/>
                <w:lang w:val="en-US" w:eastAsia="zh-CN"/>
              </w:rPr>
            </w:pPr>
            <w:r>
              <w:rPr>
                <w:rFonts w:hint="eastAsia" w:ascii="华文仿宋" w:hAnsi="华文仿宋" w:eastAsia="华文仿宋" w:cs="Times New Roman"/>
                <w:color w:val="000000" w:themeColor="text1"/>
                <w:w w:val="85"/>
                <w:sz w:val="44"/>
                <w:szCs w:val="44"/>
                <w:lang w:val="en-US" w:eastAsia="zh-CN"/>
              </w:rPr>
              <w:t>)</w:t>
            </w:r>
          </w:p>
        </w:tc>
      </w:tr>
      <w:tr>
        <w:tblPrEx>
          <w:tblLayout w:type="fixed"/>
          <w:tblCellMar>
            <w:top w:w="0" w:type="dxa"/>
            <w:left w:w="57" w:type="dxa"/>
            <w:bottom w:w="0" w:type="dxa"/>
            <w:right w:w="57" w:type="dxa"/>
          </w:tblCellMar>
        </w:tblPrEx>
        <w:trPr>
          <w:trHeight w:val="87" w:hRule="atLeast"/>
        </w:trPr>
        <w:tc>
          <w:tcPr>
            <w:tcW w:w="5386" w:type="dxa"/>
            <w:vMerge w:val="continue"/>
            <w:shd w:val="clear" w:color="auto" w:fill="auto"/>
            <w:vAlign w:val="center"/>
          </w:tcPr>
          <w:p>
            <w:pPr>
              <w:tabs>
                <w:tab w:val="left" w:pos="1260"/>
                <w:tab w:val="left" w:pos="1575"/>
              </w:tabs>
              <w:adjustRightInd w:val="0"/>
              <w:snapToGrid w:val="0"/>
              <w:rPr>
                <w:rFonts w:ascii="仿宋" w:hAnsi="仿宋" w:eastAsia="仿宋" w:cs="Times New Roman"/>
                <w:color w:val="000000" w:themeColor="text1"/>
                <w:w w:val="85"/>
                <w:position w:val="20"/>
                <w:sz w:val="24"/>
                <w:szCs w:val="24"/>
              </w:rPr>
            </w:pPr>
          </w:p>
        </w:tc>
        <w:tc>
          <w:tcPr>
            <w:tcW w:w="3261" w:type="dxa"/>
            <w:shd w:val="clear" w:color="auto" w:fill="auto"/>
            <w:vAlign w:val="center"/>
          </w:tcPr>
          <w:p>
            <w:pPr>
              <w:tabs>
                <w:tab w:val="left" w:pos="1260"/>
                <w:tab w:val="left" w:pos="1575"/>
              </w:tabs>
              <w:adjustRightInd w:val="0"/>
              <w:snapToGrid w:val="0"/>
              <w:jc w:val="center"/>
              <w:rPr>
                <w:rFonts w:ascii="仿宋" w:hAnsi="仿宋" w:eastAsia="仿宋" w:cs="Times New Roman"/>
                <w:color w:val="000000" w:themeColor="text1"/>
                <w:w w:val="85"/>
                <w:position w:val="20"/>
                <w:sz w:val="24"/>
                <w:szCs w:val="24"/>
              </w:rPr>
            </w:pPr>
            <w:r>
              <w:rPr>
                <w:rFonts w:hint="eastAsia" w:ascii="仿宋" w:hAnsi="仿宋" w:eastAsia="仿宋" w:cs="Times New Roman"/>
                <w:color w:val="000000" w:themeColor="text1"/>
                <w:w w:val="85"/>
                <w:position w:val="-20"/>
                <w:sz w:val="24"/>
                <w:szCs w:val="24"/>
              </w:rPr>
              <w:t>上课人数（T）</w:t>
            </w:r>
          </w:p>
        </w:tc>
        <w:tc>
          <w:tcPr>
            <w:tcW w:w="240" w:type="dxa"/>
            <w:vMerge w:val="continue"/>
            <w:shd w:val="clear" w:color="auto" w:fill="auto"/>
          </w:tcPr>
          <w:p>
            <w:pPr>
              <w:tabs>
                <w:tab w:val="left" w:pos="1260"/>
                <w:tab w:val="left" w:pos="1575"/>
              </w:tabs>
              <w:adjustRightInd w:val="0"/>
              <w:snapToGrid w:val="0"/>
              <w:jc w:val="left"/>
              <w:rPr>
                <w:rFonts w:ascii="华文仿宋" w:hAnsi="华文仿宋" w:eastAsia="华文仿宋" w:cs="Times New Roman"/>
                <w:color w:val="000000" w:themeColor="text1"/>
                <w:w w:val="85"/>
                <w:position w:val="-20"/>
                <w:sz w:val="24"/>
                <w:szCs w:val="24"/>
              </w:rPr>
            </w:pPr>
          </w:p>
        </w:tc>
      </w:tr>
    </w:tbl>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全部课堂教学工作量 G = G1+G2+……+Gn，其中：</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（1）授课学时(M)——按培养方案规定的学时计算；</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（2）难度系数(N)——新开课、双语课N=1.5；其他N=1.0；</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（3）重复系数(F)——首次F=1.0；第2次及以后的重复授课F=</w:t>
      </w:r>
      <w:r>
        <w:rPr>
          <w:rFonts w:ascii="仿宋_GB2312" w:hAnsi="仿宋_GB2312" w:eastAsia="仿宋_GB2312" w:cs="仿宋_GB2312"/>
          <w:sz w:val="28"/>
          <w:szCs w:val="28"/>
        </w:rPr>
        <w:t>0.9</w:t>
      </w:r>
      <w:r>
        <w:rPr>
          <w:rFonts w:hint="eastAsia" w:ascii="仿宋_GB2312" w:hAnsi="仿宋_GB2312" w:eastAsia="仿宋_GB2312" w:cs="仿宋_GB2312"/>
          <w:sz w:val="28"/>
          <w:szCs w:val="28"/>
        </w:rPr>
        <w:t>（思想政治理论课不计算重复课）</w:t>
      </w:r>
      <w:r>
        <w:rPr>
          <w:rFonts w:hint="eastAsia" w:ascii="仿宋_GB2312" w:hAnsi="仿宋_GB2312" w:eastAsia="仿宋_GB2312" w:cs="仿宋_GB2312"/>
          <w:color w:val="000000" w:themeColor="text1"/>
          <w:sz w:val="28"/>
          <w:szCs w:val="28"/>
        </w:rPr>
        <w:t>；</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（4）上课人数(T)——实际上课人数，不足标准课堂人数的按标准课堂人数计；</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（5）标准课堂人数(S)——各类课程标准课堂人数规定见表</w:t>
      </w:r>
      <w:r>
        <w:rPr>
          <w:rFonts w:ascii="仿宋_GB2312" w:hAnsi="仿宋_GB2312" w:eastAsia="仿宋_GB2312" w:cs="仿宋_GB2312"/>
          <w:color w:val="000000" w:themeColor="text1"/>
          <w:sz w:val="28"/>
          <w:szCs w:val="28"/>
        </w:rPr>
        <w:t>2</w:t>
      </w:r>
      <w:r>
        <w:rPr>
          <w:rFonts w:hint="eastAsia" w:ascii="仿宋_GB2312" w:hAnsi="仿宋_GB2312" w:eastAsia="仿宋_GB2312" w:cs="仿宋_GB2312"/>
          <w:color w:val="000000" w:themeColor="text1"/>
          <w:sz w:val="28"/>
          <w:szCs w:val="28"/>
        </w:rPr>
        <w:t>：</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p>
    <w:p>
      <w:pPr>
        <w:tabs>
          <w:tab w:val="left" w:pos="1785"/>
        </w:tabs>
        <w:adjustRightInd w:val="0"/>
        <w:snapToGrid w:val="0"/>
        <w:spacing w:beforeLines="50" w:line="560" w:lineRule="exact"/>
        <w:jc w:val="center"/>
        <w:rPr>
          <w:rFonts w:ascii="楷体_GB2312" w:hAnsi="楷体_GB2312" w:eastAsia="楷体_GB2312" w:cs="楷体_GB2312"/>
          <w:color w:val="000000" w:themeColor="text1"/>
          <w:sz w:val="28"/>
          <w:szCs w:val="28"/>
        </w:rPr>
      </w:pPr>
      <w:r>
        <w:rPr>
          <w:rFonts w:hint="eastAsia" w:ascii="楷体_GB2312" w:hAnsi="楷体_GB2312" w:eastAsia="楷体_GB2312" w:cs="楷体_GB2312"/>
          <w:color w:val="000000" w:themeColor="text1"/>
          <w:sz w:val="28"/>
          <w:szCs w:val="28"/>
        </w:rPr>
        <w:t>表2 各类课程的标准课堂人数</w:t>
      </w:r>
    </w:p>
    <w:tbl>
      <w:tblPr>
        <w:tblStyle w:val="9"/>
        <w:tblW w:w="86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634"/>
        <w:gridCol w:w="1889"/>
        <w:gridCol w:w="4511"/>
        <w:gridCol w:w="16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474" w:hRule="atLeast"/>
          <w:jc w:val="center"/>
        </w:trPr>
        <w:tc>
          <w:tcPr>
            <w:tcW w:w="634" w:type="dxa"/>
            <w:tcBorders>
              <w:tl2br w:val="nil"/>
              <w:tr2bl w:val="nil"/>
            </w:tcBorders>
            <w:shd w:val="clear" w:color="auto" w:fill="auto"/>
            <w:vAlign w:val="center"/>
          </w:tcPr>
          <w:p>
            <w:pPr>
              <w:snapToGrid w:val="0"/>
              <w:jc w:val="center"/>
              <w:rPr>
                <w:rFonts w:ascii="仿宋_GB2312" w:hAnsi="仿宋_GB2312" w:eastAsia="仿宋_GB2312" w:cs="仿宋_GB2312"/>
                <w:b/>
                <w:bCs/>
                <w:color w:val="000000" w:themeColor="text1"/>
                <w:kern w:val="0"/>
                <w:sz w:val="24"/>
                <w:szCs w:val="24"/>
              </w:rPr>
            </w:pPr>
            <w:r>
              <w:rPr>
                <w:rFonts w:hint="eastAsia" w:ascii="仿宋_GB2312" w:hAnsi="仿宋_GB2312" w:eastAsia="仿宋_GB2312" w:cs="仿宋_GB2312"/>
                <w:b/>
                <w:bCs/>
                <w:color w:val="000000" w:themeColor="text1"/>
                <w:kern w:val="0"/>
                <w:sz w:val="24"/>
                <w:szCs w:val="24"/>
              </w:rPr>
              <w:t>序号</w:t>
            </w:r>
          </w:p>
        </w:tc>
        <w:tc>
          <w:tcPr>
            <w:tcW w:w="1889" w:type="dxa"/>
            <w:tcBorders>
              <w:tl2br w:val="nil"/>
              <w:tr2bl w:val="nil"/>
            </w:tcBorders>
            <w:shd w:val="clear" w:color="auto" w:fill="auto"/>
            <w:vAlign w:val="center"/>
          </w:tcPr>
          <w:p>
            <w:pPr>
              <w:snapToGrid w:val="0"/>
              <w:jc w:val="center"/>
              <w:rPr>
                <w:rFonts w:ascii="仿宋_GB2312" w:hAnsi="仿宋_GB2312" w:eastAsia="仿宋_GB2312" w:cs="仿宋_GB2312"/>
                <w:b/>
                <w:bCs/>
                <w:color w:val="000000" w:themeColor="text1"/>
                <w:kern w:val="0"/>
                <w:sz w:val="24"/>
                <w:szCs w:val="24"/>
              </w:rPr>
            </w:pPr>
            <w:r>
              <w:rPr>
                <w:rFonts w:hint="eastAsia" w:ascii="仿宋_GB2312" w:hAnsi="仿宋_GB2312" w:eastAsia="仿宋_GB2312" w:cs="仿宋_GB2312"/>
                <w:b/>
                <w:bCs/>
                <w:color w:val="000000" w:themeColor="text1"/>
                <w:kern w:val="0"/>
                <w:sz w:val="24"/>
                <w:szCs w:val="24"/>
              </w:rPr>
              <w:t>课程类型</w:t>
            </w:r>
          </w:p>
        </w:tc>
        <w:tc>
          <w:tcPr>
            <w:tcW w:w="4511" w:type="dxa"/>
            <w:tcBorders>
              <w:tl2br w:val="nil"/>
              <w:tr2bl w:val="nil"/>
            </w:tcBorders>
            <w:shd w:val="clear" w:color="auto" w:fill="auto"/>
            <w:vAlign w:val="center"/>
          </w:tcPr>
          <w:p>
            <w:pPr>
              <w:snapToGrid w:val="0"/>
              <w:jc w:val="center"/>
              <w:rPr>
                <w:rFonts w:ascii="仿宋_GB2312" w:hAnsi="仿宋_GB2312" w:eastAsia="仿宋_GB2312" w:cs="仿宋_GB2312"/>
                <w:b/>
                <w:bCs/>
                <w:color w:val="000000" w:themeColor="text1"/>
                <w:kern w:val="0"/>
                <w:sz w:val="24"/>
                <w:szCs w:val="24"/>
              </w:rPr>
            </w:pPr>
            <w:r>
              <w:rPr>
                <w:rFonts w:hint="eastAsia" w:ascii="仿宋_GB2312" w:hAnsi="仿宋_GB2312" w:eastAsia="仿宋_GB2312" w:cs="仿宋_GB2312"/>
                <w:b/>
                <w:bCs/>
                <w:color w:val="000000" w:themeColor="text1"/>
                <w:kern w:val="0"/>
                <w:sz w:val="24"/>
                <w:szCs w:val="24"/>
              </w:rPr>
              <w:t>具体课程</w:t>
            </w:r>
          </w:p>
        </w:tc>
        <w:tc>
          <w:tcPr>
            <w:tcW w:w="1646" w:type="dxa"/>
            <w:tcBorders>
              <w:tl2br w:val="nil"/>
              <w:tr2bl w:val="nil"/>
            </w:tcBorders>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b/>
                <w:bCs/>
                <w:color w:val="000000" w:themeColor="text1"/>
                <w:kern w:val="0"/>
                <w:sz w:val="24"/>
                <w:szCs w:val="24"/>
              </w:rPr>
              <w:t>标准课堂人数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1007" w:hRule="atLeast"/>
          <w:jc w:val="center"/>
        </w:trPr>
        <w:tc>
          <w:tcPr>
            <w:tcW w:w="634"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1</w:t>
            </w:r>
          </w:p>
        </w:tc>
        <w:tc>
          <w:tcPr>
            <w:tcW w:w="1889"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公共课</w:t>
            </w:r>
          </w:p>
        </w:tc>
        <w:tc>
          <w:tcPr>
            <w:tcW w:w="4511" w:type="dxa"/>
            <w:tcBorders>
              <w:tl2br w:val="nil"/>
              <w:tr2bl w:val="nil"/>
            </w:tcBorders>
            <w:shd w:val="clear" w:color="auto" w:fill="auto"/>
            <w:vAlign w:val="center"/>
          </w:tcPr>
          <w:p>
            <w:pPr>
              <w:widowControl/>
              <w:snapToGrid w:val="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大学生职业生涯规划、大学生就业指导与实践、大学生心理健康教育、创业教育和全校各类公选课</w:t>
            </w:r>
          </w:p>
        </w:tc>
        <w:tc>
          <w:tcPr>
            <w:tcW w:w="1646" w:type="dxa"/>
            <w:tcBorders>
              <w:tl2br w:val="nil"/>
              <w:tr2bl w:val="nil"/>
            </w:tcBorders>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727" w:hRule="atLeast"/>
          <w:jc w:val="center"/>
        </w:trPr>
        <w:tc>
          <w:tcPr>
            <w:tcW w:w="634"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2</w:t>
            </w:r>
          </w:p>
        </w:tc>
        <w:tc>
          <w:tcPr>
            <w:tcW w:w="1889" w:type="dxa"/>
            <w:tcBorders>
              <w:tl2br w:val="nil"/>
              <w:tr2bl w:val="nil"/>
            </w:tcBorders>
            <w:shd w:val="clear" w:color="auto" w:fill="auto"/>
            <w:vAlign w:val="center"/>
          </w:tcPr>
          <w:p>
            <w:pPr>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公共教育类</w:t>
            </w:r>
          </w:p>
        </w:tc>
        <w:tc>
          <w:tcPr>
            <w:tcW w:w="4511" w:type="dxa"/>
            <w:tcBorders>
              <w:tl2br w:val="nil"/>
              <w:tr2bl w:val="nil"/>
            </w:tcBorders>
            <w:shd w:val="clear" w:color="auto" w:fill="auto"/>
            <w:vAlign w:val="center"/>
          </w:tcPr>
          <w:p>
            <w:pPr>
              <w:snapToGrid w:val="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普通教育学、普通心理学、教师职业素养与能力提升</w:t>
            </w:r>
          </w:p>
        </w:tc>
        <w:tc>
          <w:tcPr>
            <w:tcW w:w="1646" w:type="dxa"/>
            <w:tcBorders>
              <w:tl2br w:val="nil"/>
              <w:tr2bl w:val="nil"/>
            </w:tcBorders>
            <w:vAlign w:val="center"/>
          </w:tcPr>
          <w:p>
            <w:pPr>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678" w:hRule="atLeast"/>
          <w:jc w:val="center"/>
        </w:trPr>
        <w:tc>
          <w:tcPr>
            <w:tcW w:w="634" w:type="dxa"/>
            <w:vMerge w:val="restart"/>
            <w:tcBorders>
              <w:tl2br w:val="nil"/>
              <w:tr2bl w:val="nil"/>
            </w:tcBorders>
            <w:shd w:val="clear" w:color="auto" w:fill="auto"/>
            <w:vAlign w:val="center"/>
          </w:tcPr>
          <w:p>
            <w:pPr>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3</w:t>
            </w:r>
          </w:p>
        </w:tc>
        <w:tc>
          <w:tcPr>
            <w:tcW w:w="1889"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公共语言类</w:t>
            </w:r>
          </w:p>
        </w:tc>
        <w:tc>
          <w:tcPr>
            <w:tcW w:w="4511" w:type="dxa"/>
            <w:tcBorders>
              <w:tl2br w:val="nil"/>
              <w:tr2bl w:val="nil"/>
            </w:tcBorders>
            <w:shd w:val="clear" w:color="auto" w:fill="auto"/>
            <w:vAlign w:val="center"/>
          </w:tcPr>
          <w:p>
            <w:pPr>
              <w:widowControl/>
              <w:snapToGrid w:val="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大学英语*（精读）、大学语文、普通话、教师语言</w:t>
            </w:r>
          </w:p>
        </w:tc>
        <w:tc>
          <w:tcPr>
            <w:tcW w:w="1646" w:type="dxa"/>
            <w:vMerge w:val="restart"/>
            <w:tcBorders>
              <w:tl2br w:val="nil"/>
              <w:tr2bl w:val="nil"/>
            </w:tcBorders>
            <w:vAlign w:val="center"/>
          </w:tcPr>
          <w:p>
            <w:pPr>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9" w:hRule="atLeast"/>
          <w:jc w:val="center"/>
        </w:trPr>
        <w:tc>
          <w:tcPr>
            <w:tcW w:w="634" w:type="dxa"/>
            <w:vMerge w:val="continue"/>
            <w:tcBorders>
              <w:tl2br w:val="nil"/>
              <w:tr2bl w:val="nil"/>
            </w:tcBorders>
            <w:shd w:val="clear" w:color="auto" w:fill="auto"/>
            <w:vAlign w:val="center"/>
          </w:tcPr>
          <w:p>
            <w:pPr>
              <w:snapToGrid w:val="0"/>
              <w:jc w:val="center"/>
              <w:rPr>
                <w:rFonts w:ascii="仿宋_GB2312" w:hAnsi="仿宋_GB2312" w:eastAsia="仿宋_GB2312" w:cs="仿宋_GB2312"/>
                <w:color w:val="000000" w:themeColor="text1"/>
                <w:kern w:val="0"/>
                <w:sz w:val="24"/>
                <w:szCs w:val="24"/>
              </w:rPr>
            </w:pPr>
          </w:p>
        </w:tc>
        <w:tc>
          <w:tcPr>
            <w:tcW w:w="1889"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公共计算机</w:t>
            </w:r>
          </w:p>
        </w:tc>
        <w:tc>
          <w:tcPr>
            <w:tcW w:w="4511" w:type="dxa"/>
            <w:tcBorders>
              <w:tl2br w:val="nil"/>
              <w:tr2bl w:val="nil"/>
            </w:tcBorders>
            <w:shd w:val="clear" w:color="auto" w:fill="auto"/>
            <w:vAlign w:val="center"/>
          </w:tcPr>
          <w:p>
            <w:pPr>
              <w:widowControl/>
              <w:snapToGrid w:val="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大学计算机基础、程序设计基础</w:t>
            </w:r>
          </w:p>
        </w:tc>
        <w:tc>
          <w:tcPr>
            <w:tcW w:w="1646" w:type="dxa"/>
            <w:vMerge w:val="continue"/>
            <w:tcBorders>
              <w:tl2br w:val="nil"/>
              <w:tr2bl w:val="nil"/>
            </w:tcBorders>
            <w:vAlign w:val="center"/>
          </w:tcPr>
          <w:p>
            <w:pPr>
              <w:widowControl/>
              <w:snapToGrid w:val="0"/>
              <w:jc w:val="center"/>
              <w:rPr>
                <w:rFonts w:ascii="仿宋_GB2312" w:hAnsi="仿宋_GB2312" w:eastAsia="仿宋_GB2312" w:cs="仿宋_GB2312"/>
                <w:color w:val="000000" w:themeColor="text1"/>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9" w:hRule="atLeast"/>
          <w:jc w:val="center"/>
        </w:trPr>
        <w:tc>
          <w:tcPr>
            <w:tcW w:w="634" w:type="dxa"/>
            <w:vMerge w:val="continue"/>
            <w:tcBorders>
              <w:tl2br w:val="nil"/>
              <w:tr2bl w:val="nil"/>
            </w:tcBorders>
            <w:shd w:val="clear" w:color="auto" w:fill="auto"/>
            <w:vAlign w:val="center"/>
          </w:tcPr>
          <w:p>
            <w:pPr>
              <w:snapToGrid w:val="0"/>
              <w:jc w:val="center"/>
              <w:rPr>
                <w:rFonts w:ascii="仿宋_GB2312" w:hAnsi="仿宋_GB2312" w:eastAsia="仿宋_GB2312" w:cs="仿宋_GB2312"/>
                <w:color w:val="000000" w:themeColor="text1"/>
                <w:kern w:val="0"/>
                <w:sz w:val="24"/>
                <w:szCs w:val="24"/>
              </w:rPr>
            </w:pPr>
          </w:p>
        </w:tc>
        <w:tc>
          <w:tcPr>
            <w:tcW w:w="1889"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公共艺术类</w:t>
            </w:r>
          </w:p>
        </w:tc>
        <w:tc>
          <w:tcPr>
            <w:tcW w:w="4511" w:type="dxa"/>
            <w:tcBorders>
              <w:tl2br w:val="nil"/>
              <w:tr2bl w:val="nil"/>
            </w:tcBorders>
            <w:shd w:val="clear" w:color="auto" w:fill="auto"/>
            <w:vAlign w:val="center"/>
          </w:tcPr>
          <w:p>
            <w:pPr>
              <w:widowControl/>
              <w:snapToGrid w:val="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艺术（音乐、美术）</w:t>
            </w:r>
          </w:p>
        </w:tc>
        <w:tc>
          <w:tcPr>
            <w:tcW w:w="1646" w:type="dxa"/>
            <w:vMerge w:val="continue"/>
            <w:tcBorders>
              <w:tl2br w:val="nil"/>
              <w:tr2bl w:val="nil"/>
            </w:tcBorders>
            <w:vAlign w:val="center"/>
          </w:tcPr>
          <w:p>
            <w:pPr>
              <w:widowControl/>
              <w:snapToGrid w:val="0"/>
              <w:jc w:val="center"/>
              <w:rPr>
                <w:rFonts w:ascii="仿宋_GB2312" w:hAnsi="仿宋_GB2312" w:eastAsia="仿宋_GB2312" w:cs="仿宋_GB2312"/>
                <w:color w:val="000000" w:themeColor="text1"/>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88" w:hRule="atLeast"/>
          <w:jc w:val="center"/>
        </w:trPr>
        <w:tc>
          <w:tcPr>
            <w:tcW w:w="634" w:type="dxa"/>
            <w:vMerge w:val="restart"/>
            <w:tcBorders>
              <w:tl2br w:val="nil"/>
              <w:tr2bl w:val="nil"/>
            </w:tcBorders>
            <w:shd w:val="clear" w:color="auto" w:fill="auto"/>
            <w:vAlign w:val="center"/>
          </w:tcPr>
          <w:p>
            <w:pPr>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4</w:t>
            </w:r>
          </w:p>
        </w:tc>
        <w:tc>
          <w:tcPr>
            <w:tcW w:w="1889"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思想政治理论课</w:t>
            </w:r>
          </w:p>
        </w:tc>
        <w:tc>
          <w:tcPr>
            <w:tcW w:w="4511" w:type="dxa"/>
            <w:tcBorders>
              <w:tl2br w:val="nil"/>
              <w:tr2bl w:val="nil"/>
            </w:tcBorders>
            <w:shd w:val="clear" w:color="auto" w:fill="auto"/>
            <w:vAlign w:val="center"/>
          </w:tcPr>
          <w:p>
            <w:pPr>
              <w:widowControl/>
              <w:snapToGrid w:val="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思想道德修养与法律基础、中国近代史纲要、马克思主义基本原理概论、毛泽东思想和中国特色社会主义理论体系概论、</w:t>
            </w:r>
            <w:r>
              <w:rPr>
                <w:rFonts w:hint="eastAsia" w:ascii="仿宋_GB2312" w:hAnsi="仿宋_GB2312" w:eastAsia="仿宋_GB2312" w:cs="仿宋_GB2312"/>
                <w:color w:val="000000" w:themeColor="text1"/>
                <w:sz w:val="24"/>
                <w:szCs w:val="24"/>
              </w:rPr>
              <w:t>形势与政策</w:t>
            </w:r>
          </w:p>
        </w:tc>
        <w:tc>
          <w:tcPr>
            <w:tcW w:w="1646" w:type="dxa"/>
            <w:vMerge w:val="restart"/>
            <w:tcBorders>
              <w:tl2br w:val="nil"/>
              <w:tr2bl w:val="nil"/>
            </w:tcBorders>
            <w:vAlign w:val="center"/>
          </w:tcPr>
          <w:p>
            <w:pPr>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88" w:hRule="atLeast"/>
          <w:jc w:val="center"/>
        </w:trPr>
        <w:tc>
          <w:tcPr>
            <w:tcW w:w="634" w:type="dxa"/>
            <w:vMerge w:val="continue"/>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p>
        </w:tc>
        <w:tc>
          <w:tcPr>
            <w:tcW w:w="1889"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公共教技类</w:t>
            </w:r>
          </w:p>
        </w:tc>
        <w:tc>
          <w:tcPr>
            <w:tcW w:w="4511" w:type="dxa"/>
            <w:tcBorders>
              <w:tl2br w:val="nil"/>
              <w:tr2bl w:val="nil"/>
            </w:tcBorders>
            <w:shd w:val="clear" w:color="auto" w:fill="auto"/>
            <w:vAlign w:val="center"/>
          </w:tcPr>
          <w:p>
            <w:pPr>
              <w:widowControl/>
              <w:snapToGrid w:val="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现代教育技术与应用</w:t>
            </w:r>
          </w:p>
        </w:tc>
        <w:tc>
          <w:tcPr>
            <w:tcW w:w="1646" w:type="dxa"/>
            <w:vMerge w:val="continue"/>
            <w:tcBorders>
              <w:tl2br w:val="nil"/>
              <w:tr2bl w:val="nil"/>
            </w:tcBorders>
            <w:vAlign w:val="center"/>
          </w:tcPr>
          <w:p>
            <w:pPr>
              <w:widowControl/>
              <w:snapToGrid w:val="0"/>
              <w:jc w:val="center"/>
              <w:rPr>
                <w:rFonts w:ascii="仿宋_GB2312" w:hAnsi="仿宋_GB2312" w:eastAsia="仿宋_GB2312" w:cs="仿宋_GB2312"/>
                <w:color w:val="000000" w:themeColor="text1"/>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9" w:hRule="atLeast"/>
          <w:jc w:val="center"/>
        </w:trPr>
        <w:tc>
          <w:tcPr>
            <w:tcW w:w="634" w:type="dxa"/>
            <w:vMerge w:val="continue"/>
            <w:tcBorders>
              <w:tl2br w:val="nil"/>
              <w:tr2bl w:val="nil"/>
            </w:tcBorders>
            <w:shd w:val="clear" w:color="auto" w:fill="auto"/>
            <w:vAlign w:val="center"/>
          </w:tcPr>
          <w:p>
            <w:pPr>
              <w:snapToGrid w:val="0"/>
              <w:jc w:val="center"/>
              <w:rPr>
                <w:rFonts w:ascii="仿宋_GB2312" w:hAnsi="仿宋_GB2312" w:eastAsia="仿宋_GB2312" w:cs="仿宋_GB2312"/>
                <w:color w:val="000000" w:themeColor="text1"/>
                <w:kern w:val="0"/>
                <w:sz w:val="24"/>
                <w:szCs w:val="24"/>
              </w:rPr>
            </w:pPr>
          </w:p>
        </w:tc>
        <w:tc>
          <w:tcPr>
            <w:tcW w:w="1889"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公共体育类</w:t>
            </w:r>
          </w:p>
        </w:tc>
        <w:tc>
          <w:tcPr>
            <w:tcW w:w="4511" w:type="dxa"/>
            <w:tcBorders>
              <w:tl2br w:val="nil"/>
              <w:tr2bl w:val="nil"/>
            </w:tcBorders>
            <w:shd w:val="clear" w:color="auto" w:fill="auto"/>
            <w:vAlign w:val="center"/>
          </w:tcPr>
          <w:p>
            <w:pPr>
              <w:widowControl/>
              <w:snapToGrid w:val="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大学体育</w:t>
            </w:r>
          </w:p>
        </w:tc>
        <w:tc>
          <w:tcPr>
            <w:tcW w:w="1646" w:type="dxa"/>
            <w:vMerge w:val="continue"/>
            <w:tcBorders>
              <w:tl2br w:val="nil"/>
              <w:tr2bl w:val="nil"/>
            </w:tcBorders>
            <w:vAlign w:val="center"/>
          </w:tcPr>
          <w:p>
            <w:pPr>
              <w:widowControl/>
              <w:snapToGrid w:val="0"/>
              <w:jc w:val="center"/>
              <w:rPr>
                <w:rFonts w:ascii="仿宋_GB2312" w:hAnsi="仿宋_GB2312" w:eastAsia="仿宋_GB2312" w:cs="仿宋_GB2312"/>
                <w:color w:val="000000" w:themeColor="text1"/>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9" w:hRule="atLeast"/>
          <w:jc w:val="center"/>
        </w:trPr>
        <w:tc>
          <w:tcPr>
            <w:tcW w:w="634" w:type="dxa"/>
            <w:vMerge w:val="continue"/>
            <w:tcBorders>
              <w:tl2br w:val="nil"/>
              <w:tr2bl w:val="nil"/>
            </w:tcBorders>
            <w:shd w:val="clear" w:color="auto" w:fill="auto"/>
            <w:vAlign w:val="center"/>
          </w:tcPr>
          <w:p>
            <w:pPr>
              <w:snapToGrid w:val="0"/>
              <w:jc w:val="center"/>
              <w:rPr>
                <w:rFonts w:ascii="仿宋_GB2312" w:hAnsi="仿宋_GB2312" w:eastAsia="仿宋_GB2312" w:cs="仿宋_GB2312"/>
                <w:color w:val="000000" w:themeColor="text1"/>
                <w:kern w:val="0"/>
                <w:sz w:val="24"/>
                <w:szCs w:val="24"/>
              </w:rPr>
            </w:pPr>
          </w:p>
        </w:tc>
        <w:tc>
          <w:tcPr>
            <w:tcW w:w="1889"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英语视听类</w:t>
            </w:r>
          </w:p>
        </w:tc>
        <w:tc>
          <w:tcPr>
            <w:tcW w:w="4511" w:type="dxa"/>
            <w:tcBorders>
              <w:tl2br w:val="nil"/>
              <w:tr2bl w:val="nil"/>
            </w:tcBorders>
            <w:shd w:val="clear" w:color="auto" w:fill="auto"/>
            <w:vAlign w:val="center"/>
          </w:tcPr>
          <w:p>
            <w:pPr>
              <w:widowControl/>
              <w:snapToGrid w:val="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大学英语*（语音室）</w:t>
            </w:r>
          </w:p>
        </w:tc>
        <w:tc>
          <w:tcPr>
            <w:tcW w:w="1646" w:type="dxa"/>
            <w:vMerge w:val="continue"/>
            <w:tcBorders>
              <w:tl2br w:val="nil"/>
              <w:tr2bl w:val="nil"/>
            </w:tcBorders>
            <w:vAlign w:val="center"/>
          </w:tcPr>
          <w:p>
            <w:pPr>
              <w:widowControl/>
              <w:snapToGrid w:val="0"/>
              <w:jc w:val="center"/>
              <w:rPr>
                <w:rFonts w:ascii="仿宋_GB2312" w:hAnsi="仿宋_GB2312" w:eastAsia="仿宋_GB2312" w:cs="仿宋_GB2312"/>
                <w:color w:val="000000" w:themeColor="text1"/>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9" w:hRule="atLeast"/>
          <w:jc w:val="center"/>
        </w:trPr>
        <w:tc>
          <w:tcPr>
            <w:tcW w:w="634" w:type="dxa"/>
            <w:vMerge w:val="continue"/>
            <w:tcBorders>
              <w:tl2br w:val="nil"/>
              <w:tr2bl w:val="nil"/>
            </w:tcBorders>
            <w:shd w:val="clear" w:color="auto" w:fill="auto"/>
            <w:vAlign w:val="center"/>
          </w:tcPr>
          <w:p>
            <w:pPr>
              <w:snapToGrid w:val="0"/>
              <w:jc w:val="center"/>
              <w:rPr>
                <w:rFonts w:ascii="仿宋_GB2312" w:hAnsi="仿宋_GB2312" w:eastAsia="仿宋_GB2312" w:cs="仿宋_GB2312"/>
                <w:color w:val="000000" w:themeColor="text1"/>
                <w:kern w:val="0"/>
                <w:sz w:val="24"/>
                <w:szCs w:val="24"/>
              </w:rPr>
            </w:pPr>
          </w:p>
        </w:tc>
        <w:tc>
          <w:tcPr>
            <w:tcW w:w="1889"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专业理论课</w:t>
            </w:r>
          </w:p>
        </w:tc>
        <w:tc>
          <w:tcPr>
            <w:tcW w:w="4511" w:type="dxa"/>
            <w:tcBorders>
              <w:tl2br w:val="nil"/>
              <w:tr2bl w:val="nil"/>
            </w:tcBorders>
            <w:shd w:val="clear" w:color="auto" w:fill="auto"/>
            <w:vAlign w:val="center"/>
          </w:tcPr>
          <w:p>
            <w:pPr>
              <w:widowControl/>
              <w:snapToGrid w:val="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全校各专业的专业基础课、专业课</w:t>
            </w:r>
          </w:p>
        </w:tc>
        <w:tc>
          <w:tcPr>
            <w:tcW w:w="1646" w:type="dxa"/>
            <w:vMerge w:val="continue"/>
            <w:tcBorders>
              <w:tl2br w:val="nil"/>
              <w:tr2bl w:val="nil"/>
            </w:tcBorders>
            <w:vAlign w:val="center"/>
          </w:tcPr>
          <w:p>
            <w:pPr>
              <w:widowControl/>
              <w:snapToGrid w:val="0"/>
              <w:jc w:val="center"/>
              <w:rPr>
                <w:rFonts w:ascii="仿宋_GB2312" w:hAnsi="仿宋_GB2312" w:eastAsia="仿宋_GB2312" w:cs="仿宋_GB2312"/>
                <w:color w:val="000000" w:themeColor="text1"/>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88" w:hRule="atLeast"/>
          <w:jc w:val="center"/>
        </w:trPr>
        <w:tc>
          <w:tcPr>
            <w:tcW w:w="634" w:type="dxa"/>
            <w:vMerge w:val="restart"/>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5</w:t>
            </w:r>
          </w:p>
        </w:tc>
        <w:tc>
          <w:tcPr>
            <w:tcW w:w="1889"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专业实验课</w:t>
            </w:r>
          </w:p>
        </w:tc>
        <w:tc>
          <w:tcPr>
            <w:tcW w:w="4511" w:type="dxa"/>
            <w:tcBorders>
              <w:tl2br w:val="nil"/>
              <w:tr2bl w:val="nil"/>
            </w:tcBorders>
            <w:shd w:val="clear" w:color="auto" w:fill="auto"/>
            <w:vAlign w:val="center"/>
          </w:tcPr>
          <w:p>
            <w:pPr>
              <w:widowControl/>
              <w:snapToGrid w:val="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专业实验课（理工科）</w:t>
            </w:r>
          </w:p>
        </w:tc>
        <w:tc>
          <w:tcPr>
            <w:tcW w:w="1646" w:type="dxa"/>
            <w:vMerge w:val="restart"/>
            <w:tcBorders>
              <w:tl2br w:val="nil"/>
              <w:tr2bl w:val="nil"/>
            </w:tcBorders>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9" w:hRule="atLeast"/>
          <w:jc w:val="center"/>
        </w:trPr>
        <w:tc>
          <w:tcPr>
            <w:tcW w:w="634" w:type="dxa"/>
            <w:vMerge w:val="continue"/>
            <w:tcBorders>
              <w:tl2br w:val="nil"/>
              <w:tr2bl w:val="nil"/>
            </w:tcBorders>
            <w:shd w:val="clear" w:color="auto" w:fill="auto"/>
            <w:vAlign w:val="center"/>
          </w:tcPr>
          <w:p>
            <w:pPr>
              <w:snapToGrid w:val="0"/>
              <w:jc w:val="center"/>
              <w:rPr>
                <w:rFonts w:ascii="仿宋_GB2312" w:hAnsi="仿宋_GB2312" w:eastAsia="仿宋_GB2312" w:cs="仿宋_GB2312"/>
                <w:color w:val="000000" w:themeColor="text1"/>
                <w:kern w:val="0"/>
                <w:sz w:val="24"/>
                <w:szCs w:val="24"/>
              </w:rPr>
            </w:pPr>
          </w:p>
        </w:tc>
        <w:tc>
          <w:tcPr>
            <w:tcW w:w="1889"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艺体专业术课</w:t>
            </w:r>
          </w:p>
        </w:tc>
        <w:tc>
          <w:tcPr>
            <w:tcW w:w="4511" w:type="dxa"/>
            <w:tcBorders>
              <w:tl2br w:val="nil"/>
              <w:tr2bl w:val="nil"/>
            </w:tcBorders>
            <w:shd w:val="clear" w:color="auto" w:fill="auto"/>
            <w:vAlign w:val="center"/>
          </w:tcPr>
          <w:p>
            <w:pPr>
              <w:widowControl/>
              <w:snapToGrid w:val="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音、体、美专业的各类术课</w:t>
            </w:r>
          </w:p>
        </w:tc>
        <w:tc>
          <w:tcPr>
            <w:tcW w:w="1646" w:type="dxa"/>
            <w:vMerge w:val="continue"/>
            <w:tcBorders>
              <w:tl2br w:val="nil"/>
              <w:tr2bl w:val="nil"/>
            </w:tcBorders>
            <w:vAlign w:val="center"/>
          </w:tcPr>
          <w:p>
            <w:pPr>
              <w:snapToGrid w:val="0"/>
              <w:jc w:val="center"/>
              <w:rPr>
                <w:rFonts w:ascii="仿宋_GB2312" w:hAnsi="仿宋_GB2312" w:eastAsia="仿宋_GB2312" w:cs="仿宋_GB2312"/>
                <w:color w:val="000000" w:themeColor="text1"/>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409" w:hRule="atLeast"/>
          <w:jc w:val="center"/>
        </w:trPr>
        <w:tc>
          <w:tcPr>
            <w:tcW w:w="634"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6</w:t>
            </w:r>
          </w:p>
        </w:tc>
        <w:tc>
          <w:tcPr>
            <w:tcW w:w="1889" w:type="dxa"/>
            <w:tcBorders>
              <w:tl2br w:val="nil"/>
              <w:tr2bl w:val="nil"/>
            </w:tcBorders>
            <w:shd w:val="clear" w:color="auto" w:fill="auto"/>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艺术类个别课</w:t>
            </w:r>
          </w:p>
        </w:tc>
        <w:tc>
          <w:tcPr>
            <w:tcW w:w="4511" w:type="dxa"/>
            <w:tcBorders>
              <w:tl2br w:val="nil"/>
              <w:tr2bl w:val="nil"/>
            </w:tcBorders>
            <w:shd w:val="clear" w:color="auto" w:fill="auto"/>
            <w:vAlign w:val="center"/>
          </w:tcPr>
          <w:p>
            <w:pPr>
              <w:widowControl/>
              <w:snapToGrid w:val="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音乐、美术专业的个别课</w:t>
            </w:r>
          </w:p>
        </w:tc>
        <w:tc>
          <w:tcPr>
            <w:tcW w:w="1646" w:type="dxa"/>
            <w:tcBorders>
              <w:tl2br w:val="nil"/>
              <w:tr2bl w:val="nil"/>
            </w:tcBorders>
            <w:vAlign w:val="center"/>
          </w:tcPr>
          <w:p>
            <w:pPr>
              <w:widowControl/>
              <w:snapToGrid w:val="0"/>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2</w:t>
            </w:r>
          </w:p>
        </w:tc>
      </w:tr>
    </w:tbl>
    <w:p>
      <w:pPr>
        <w:tabs>
          <w:tab w:val="left" w:pos="1785"/>
        </w:tabs>
        <w:adjustRightInd w:val="0"/>
        <w:snapToGrid w:val="0"/>
        <w:spacing w:line="560" w:lineRule="exact"/>
        <w:ind w:right="23" w:firstLine="562" w:firstLineChars="2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2、实践教学工作量</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（1）指导实习（含教育实习、专业实习、课程见习）</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①驻点指导的，每周按5天计20个标准分（每天4个标准分）；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②非驻点指导的，每周按5天计5个标准分（每天1个标准分）；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③指导教育见习、生产见习、企业见习、田野作业、写生采风等，每天按2个标准分计；</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④指导学生微格试讲，每指导1个学生按2个标准分计。</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（2）指导毕业论文（设计）</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①本科生文科、艺体每篇计8个标准分，最多不超过10篇； </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②本科生理科每篇计9个标准分，最多不超过8篇；</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③本科生工科每篇计10个标准分，最多不超过8篇；</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④留学生每篇计15个标准分。</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（3）指导学生开展课外实践活动</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①指导大学生创新创业训练计划项目。每个项目，国家级、省级、校级分别计150个标准分、100个标准分、50个标准分；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②指导学生开展课外实践活动。包括综合课程实践、综合课程设计、职业技能培训、科技创新、科普教育、社会调查、社团活动、艺术实践、专场音乐会、作品展示会、体育运动队、体育（专项）俱乐部等校内外的课外实践活动，视其承担工作量，由各学院、教务处共同核定工作量，每年度每人最多不超过50个标准分。 </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（4）实验室建设与管理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分专职和兼职实验人员分别计算实践教学工作量。</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①专职实验技术人员。完成规定的实验室管理工作的，每年</w:t>
      </w:r>
      <w:bookmarkStart w:id="1" w:name="_Hlk508349082"/>
      <w:r>
        <w:rPr>
          <w:rFonts w:hint="eastAsia" w:ascii="仿宋_GB2312" w:hAnsi="仿宋_GB2312" w:eastAsia="仿宋_GB2312" w:cs="仿宋_GB2312"/>
          <w:color w:val="000000" w:themeColor="text1"/>
          <w:sz w:val="28"/>
          <w:szCs w:val="28"/>
        </w:rPr>
        <w:t>按教学岗位年额定教学工作量来计</w:t>
      </w:r>
      <w:bookmarkEnd w:id="1"/>
      <w:r>
        <w:rPr>
          <w:rFonts w:hint="eastAsia" w:ascii="仿宋_GB2312" w:hAnsi="仿宋_GB2312" w:eastAsia="仿宋_GB2312" w:cs="仿宋_GB2312"/>
          <w:color w:val="000000" w:themeColor="text1"/>
          <w:sz w:val="28"/>
          <w:szCs w:val="28"/>
        </w:rPr>
        <w:t>（见表</w:t>
      </w:r>
      <w:r>
        <w:rPr>
          <w:rFonts w:ascii="仿宋_GB2312" w:hAnsi="仿宋_GB2312" w:eastAsia="仿宋_GB2312" w:cs="仿宋_GB2312"/>
          <w:color w:val="000000" w:themeColor="text1"/>
          <w:sz w:val="28"/>
          <w:szCs w:val="28"/>
        </w:rPr>
        <w:t>3</w:t>
      </w:r>
      <w:r>
        <w:rPr>
          <w:rFonts w:hint="eastAsia" w:ascii="仿宋_GB2312" w:hAnsi="仿宋_GB2312" w:eastAsia="仿宋_GB2312" w:cs="仿宋_GB2312"/>
          <w:color w:val="000000" w:themeColor="text1"/>
          <w:sz w:val="28"/>
          <w:szCs w:val="28"/>
        </w:rPr>
        <w:t xml:space="preserve">），超额完成的，由学院核定报教务处审核； </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②兼职实验技术人员。承担了实验室全部管理工作的，每年按教学岗位年额定教学工作量的一半来计，具体情况由学院核定报教务处审核。</w:t>
      </w:r>
    </w:p>
    <w:p>
      <w:pPr>
        <w:tabs>
          <w:tab w:val="left" w:pos="1785"/>
        </w:tabs>
        <w:adjustRightInd w:val="0"/>
        <w:snapToGrid w:val="0"/>
        <w:spacing w:line="560" w:lineRule="exact"/>
        <w:ind w:right="23" w:firstLine="562" w:firstLineChars="2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3、教学质量工程建设工作量</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本科教学质量工程项目包括：品牌及特色专业、教学团队、实验（含虚拟/仿真）教学中心、优质/精品课程、在线课程/资源共享/视频公开课程、大学生创新活动基地、大学生实习实训基地、湖北名师工作室及其他新增教学质量工程项目。质量工程项目依据项目阶段和项目级别，分别按以下方式折算为标准分，同一项目的不同级别和不同阶段，按就高不就低的原则计分，不重复计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（1）撰写申报材料，每个项</w:t>
      </w:r>
      <w:bookmarkStart w:id="2" w:name="_Hlk508349379"/>
      <w:r>
        <w:rPr>
          <w:rFonts w:hint="eastAsia" w:ascii="仿宋_GB2312" w:hAnsi="仿宋_GB2312" w:eastAsia="仿宋_GB2312" w:cs="仿宋_GB2312"/>
          <w:color w:val="000000" w:themeColor="text1"/>
          <w:sz w:val="28"/>
          <w:szCs w:val="28"/>
        </w:rPr>
        <w:t>目按国家级、省级、校级分别计20个标准分、10个标准分、5个标准分。</w:t>
      </w:r>
    </w:p>
    <w:bookmarkEnd w:id="2"/>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（2）立项建设期内，每个项目按国家级、省级、校级分别计200个标准分、100个标准分、30个标准分。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（3）验收结题当年，每个项目按国家级、省级、校级分别计300个标准分、150个标准分、50个标准分。</w:t>
      </w:r>
    </w:p>
    <w:p>
      <w:pPr>
        <w:tabs>
          <w:tab w:val="left" w:pos="1785"/>
        </w:tabs>
        <w:adjustRightInd w:val="0"/>
        <w:snapToGrid w:val="0"/>
        <w:spacing w:line="560" w:lineRule="exact"/>
        <w:ind w:right="23" w:firstLine="562" w:firstLineChars="2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4、教学研究工作量</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（1）教学研究成果奖</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①国家级</w:t>
      </w:r>
      <w:bookmarkStart w:id="3" w:name="_Hlk508349533"/>
      <w:r>
        <w:rPr>
          <w:rFonts w:hint="eastAsia" w:ascii="仿宋_GB2312" w:hAnsi="仿宋_GB2312" w:eastAsia="仿宋_GB2312" w:cs="仿宋_GB2312"/>
          <w:color w:val="000000" w:themeColor="text1"/>
          <w:sz w:val="28"/>
          <w:szCs w:val="28"/>
        </w:rPr>
        <w:t>特等奖、一等奖、二等奖分别计2000个标准分、1500个标准分、1000个标准分</w:t>
      </w:r>
      <w:bookmarkEnd w:id="3"/>
      <w:r>
        <w:rPr>
          <w:rFonts w:hint="eastAsia" w:ascii="仿宋_GB2312" w:hAnsi="仿宋_GB2312" w:eastAsia="仿宋_GB2312" w:cs="仿宋_GB2312"/>
          <w:color w:val="000000" w:themeColor="text1"/>
          <w:sz w:val="28"/>
          <w:szCs w:val="28"/>
        </w:rPr>
        <w:t>；</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②省部级特等奖、一等奖、二等奖、三等奖分别计1500个标准分、1000个标准分、500个标准分、300个标准分；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③地市/校级一等奖、二等奖、三等奖分别计300个标准分、200个标准分、100个标准分；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④撰写成果申报材料。国家级、省级、校级分别计30个标准分、20个标准分、10个标准分。</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（2）承担纵向教研项目</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每个项目按国家级、省级、市级/校级分别计300个标准分、150个标准分、50个标准分。</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（3）承担横向教研项目</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按合同到账为准，每万元计30个标准分，最多不超过300个标准分。</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（4）发表</w:t>
      </w:r>
      <w:bookmarkStart w:id="4" w:name="_Hlk508696994"/>
      <w:r>
        <w:rPr>
          <w:rFonts w:hint="eastAsia" w:ascii="楷体_GB2312" w:hAnsi="楷体_GB2312" w:eastAsia="楷体_GB2312" w:cs="楷体_GB2312"/>
          <w:b/>
          <w:bCs/>
          <w:color w:val="000000" w:themeColor="text1"/>
          <w:sz w:val="28"/>
          <w:szCs w:val="28"/>
        </w:rPr>
        <w:t>教学研究论文</w:t>
      </w:r>
      <w:bookmarkEnd w:id="4"/>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教学研究论文依照《湖北师范大学科研工作量化管理办法》中的计分标准执行，不重复算分。</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（5）编写出版国家级、省级、校级规划教材或获奖教材</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bookmarkStart w:id="5" w:name="_Hlk508272016"/>
      <w:r>
        <w:rPr>
          <w:rFonts w:hint="eastAsia" w:ascii="仿宋_GB2312" w:hAnsi="仿宋_GB2312" w:eastAsia="仿宋_GB2312" w:cs="仿宋_GB2312"/>
          <w:color w:val="000000" w:themeColor="text1"/>
          <w:sz w:val="28"/>
          <w:szCs w:val="28"/>
        </w:rPr>
        <w:t>国家级、省级、校级规划教材分别计1000</w:t>
      </w:r>
      <w:bookmarkEnd w:id="5"/>
      <w:r>
        <w:rPr>
          <w:rFonts w:hint="eastAsia" w:ascii="仿宋_GB2312" w:hAnsi="仿宋_GB2312" w:eastAsia="仿宋_GB2312" w:cs="仿宋_GB2312"/>
          <w:color w:val="000000" w:themeColor="text1"/>
          <w:sz w:val="28"/>
          <w:szCs w:val="28"/>
        </w:rPr>
        <w:t>个标准分、500个标准分、100个标准分。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国家级获奖教材</w:t>
      </w:r>
      <w:bookmarkStart w:id="6" w:name="_Hlk508693201"/>
      <w:r>
        <w:rPr>
          <w:rFonts w:hint="eastAsia" w:ascii="仿宋_GB2312" w:hAnsi="仿宋_GB2312" w:eastAsia="仿宋_GB2312" w:cs="仿宋_GB2312"/>
          <w:color w:val="000000" w:themeColor="text1"/>
          <w:sz w:val="28"/>
          <w:szCs w:val="28"/>
        </w:rPr>
        <w:t>按一等奖、二等奖、三等奖分别计1000个标准分、800个标准分、500个标准分；</w:t>
      </w:r>
      <w:bookmarkEnd w:id="6"/>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省级获奖教材按一等奖、二等奖、三等奖分别计500个标准分、300个标准分、200个标准分；</w:t>
      </w:r>
    </w:p>
    <w:p>
      <w:pPr>
        <w:tabs>
          <w:tab w:val="left" w:pos="1785"/>
        </w:tabs>
        <w:adjustRightInd w:val="0"/>
        <w:snapToGrid w:val="0"/>
        <w:spacing w:line="560" w:lineRule="exact"/>
        <w:ind w:right="23" w:firstLine="560" w:firstLineChars="200"/>
        <w:rPr>
          <w:rFonts w:ascii="仿宋_GB2312" w:hAnsi="仿宋_GB2312" w:eastAsia="仿宋_GB2312" w:cs="仿宋_GB2312"/>
          <w:b/>
          <w:bCs/>
          <w:color w:val="000000" w:themeColor="text1"/>
          <w:sz w:val="28"/>
          <w:szCs w:val="28"/>
        </w:rPr>
      </w:pPr>
      <w:bookmarkStart w:id="7" w:name="_Hlk508693425"/>
      <w:r>
        <w:rPr>
          <w:rFonts w:hint="eastAsia" w:ascii="仿宋_GB2312" w:hAnsi="仿宋_GB2312" w:eastAsia="仿宋_GB2312" w:cs="仿宋_GB2312"/>
          <w:color w:val="000000" w:themeColor="text1"/>
          <w:sz w:val="28"/>
          <w:szCs w:val="28"/>
        </w:rPr>
        <w:t>校级获奖教材按一等奖、二等奖、三等奖分别计100个标准分、80个标准分、50</w:t>
      </w:r>
      <w:bookmarkEnd w:id="7"/>
      <w:r>
        <w:rPr>
          <w:rFonts w:hint="eastAsia" w:ascii="仿宋_GB2312" w:hAnsi="仿宋_GB2312" w:eastAsia="仿宋_GB2312" w:cs="仿宋_GB2312"/>
          <w:color w:val="000000" w:themeColor="text1"/>
          <w:sz w:val="28"/>
          <w:szCs w:val="28"/>
        </w:rPr>
        <w:t>个标准分。</w:t>
      </w:r>
    </w:p>
    <w:p>
      <w:pPr>
        <w:tabs>
          <w:tab w:val="left" w:pos="1785"/>
        </w:tabs>
        <w:adjustRightInd w:val="0"/>
        <w:snapToGrid w:val="0"/>
        <w:spacing w:line="560" w:lineRule="exact"/>
        <w:ind w:right="23" w:firstLine="562" w:firstLineChars="2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5、教学竞赛获奖工作量</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（1）教师指导学生竞赛获奖</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①指导师范生教学技能竞赛和理工类、</w:t>
      </w:r>
      <w:r>
        <w:rPr>
          <w:rFonts w:hint="eastAsia" w:ascii="仿宋_GB2312" w:hAnsi="仿宋_GB2312" w:eastAsia="仿宋_GB2312" w:cs="仿宋_GB2312"/>
          <w:sz w:val="28"/>
          <w:szCs w:val="28"/>
        </w:rPr>
        <w:t>经管类</w:t>
      </w:r>
      <w:r>
        <w:rPr>
          <w:rFonts w:hint="eastAsia" w:ascii="仿宋_GB2312" w:hAnsi="仿宋_GB2312" w:eastAsia="仿宋_GB2312" w:cs="仿宋_GB2312"/>
          <w:color w:val="000000" w:themeColor="text1"/>
          <w:sz w:val="28"/>
          <w:szCs w:val="28"/>
        </w:rPr>
        <w:t>实践、技能、操作类竞赛获奖：</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国家级</w:t>
      </w:r>
      <w:bookmarkStart w:id="8" w:name="_Hlk508693429"/>
      <w:r>
        <w:rPr>
          <w:rFonts w:hint="eastAsia" w:ascii="仿宋_GB2312" w:hAnsi="仿宋_GB2312" w:eastAsia="仿宋_GB2312" w:cs="仿宋_GB2312"/>
          <w:color w:val="000000" w:themeColor="text1"/>
          <w:sz w:val="28"/>
          <w:szCs w:val="28"/>
        </w:rPr>
        <w:t>按一等奖、二等奖、三等奖、优秀奖分别计</w:t>
      </w:r>
      <w:r>
        <w:rPr>
          <w:rFonts w:ascii="仿宋_GB2312" w:hAnsi="仿宋_GB2312" w:eastAsia="仿宋_GB2312" w:cs="仿宋_GB2312"/>
          <w:color w:val="000000" w:themeColor="text1"/>
          <w:sz w:val="28"/>
          <w:szCs w:val="28"/>
        </w:rPr>
        <w:t>15</w:t>
      </w:r>
      <w:r>
        <w:rPr>
          <w:rFonts w:hint="eastAsia" w:ascii="仿宋_GB2312" w:hAnsi="仿宋_GB2312" w:eastAsia="仿宋_GB2312" w:cs="仿宋_GB2312"/>
          <w:color w:val="000000" w:themeColor="text1"/>
          <w:sz w:val="28"/>
          <w:szCs w:val="28"/>
        </w:rPr>
        <w:t>0个标准分、1</w:t>
      </w:r>
      <w:r>
        <w:rPr>
          <w:rFonts w:ascii="仿宋_GB2312" w:hAnsi="仿宋_GB2312" w:eastAsia="仿宋_GB2312" w:cs="仿宋_GB2312"/>
          <w:color w:val="000000" w:themeColor="text1"/>
          <w:sz w:val="28"/>
          <w:szCs w:val="28"/>
        </w:rPr>
        <w:t>0</w:t>
      </w:r>
      <w:r>
        <w:rPr>
          <w:rFonts w:hint="eastAsia" w:ascii="仿宋_GB2312" w:hAnsi="仿宋_GB2312" w:eastAsia="仿宋_GB2312" w:cs="仿宋_GB2312"/>
          <w:color w:val="000000" w:themeColor="text1"/>
          <w:sz w:val="28"/>
          <w:szCs w:val="28"/>
        </w:rPr>
        <w:t>0个标准分、</w:t>
      </w:r>
      <w:r>
        <w:rPr>
          <w:rFonts w:ascii="仿宋_GB2312" w:hAnsi="仿宋_GB2312" w:eastAsia="仿宋_GB2312" w:cs="仿宋_GB2312"/>
          <w:color w:val="000000" w:themeColor="text1"/>
          <w:sz w:val="28"/>
          <w:szCs w:val="28"/>
        </w:rPr>
        <w:t>60</w:t>
      </w:r>
      <w:r>
        <w:rPr>
          <w:rFonts w:hint="eastAsia" w:ascii="仿宋_GB2312" w:hAnsi="仿宋_GB2312" w:eastAsia="仿宋_GB2312" w:cs="仿宋_GB2312"/>
          <w:color w:val="000000" w:themeColor="text1"/>
          <w:sz w:val="28"/>
          <w:szCs w:val="28"/>
        </w:rPr>
        <w:t>个标准分、</w:t>
      </w:r>
      <w:r>
        <w:rPr>
          <w:rFonts w:ascii="仿宋_GB2312" w:hAnsi="仿宋_GB2312" w:eastAsia="仿宋_GB2312" w:cs="仿宋_GB2312"/>
          <w:color w:val="000000" w:themeColor="text1"/>
          <w:sz w:val="28"/>
          <w:szCs w:val="28"/>
        </w:rPr>
        <w:t>3</w:t>
      </w:r>
      <w:r>
        <w:rPr>
          <w:rFonts w:hint="eastAsia" w:ascii="仿宋_GB2312" w:hAnsi="仿宋_GB2312" w:eastAsia="仿宋_GB2312" w:cs="仿宋_GB2312"/>
          <w:color w:val="000000" w:themeColor="text1"/>
          <w:sz w:val="28"/>
          <w:szCs w:val="28"/>
        </w:rPr>
        <w:t>0</w:t>
      </w:r>
      <w:bookmarkEnd w:id="8"/>
      <w:r>
        <w:rPr>
          <w:rFonts w:hint="eastAsia" w:ascii="仿宋_GB2312" w:hAnsi="仿宋_GB2312" w:eastAsia="仿宋_GB2312" w:cs="仿宋_GB2312"/>
          <w:color w:val="000000" w:themeColor="text1"/>
          <w:sz w:val="28"/>
          <w:szCs w:val="28"/>
        </w:rPr>
        <w:t xml:space="preserve">个标准分； </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省部级按一等奖、二等奖、三等奖、优秀奖分别计</w:t>
      </w:r>
      <w:r>
        <w:rPr>
          <w:rFonts w:ascii="仿宋_GB2312" w:hAnsi="仿宋_GB2312" w:eastAsia="仿宋_GB2312" w:cs="仿宋_GB2312"/>
          <w:color w:val="000000" w:themeColor="text1"/>
          <w:sz w:val="28"/>
          <w:szCs w:val="28"/>
        </w:rPr>
        <w:t>8</w:t>
      </w:r>
      <w:r>
        <w:rPr>
          <w:rFonts w:hint="eastAsia" w:ascii="仿宋_GB2312" w:hAnsi="仿宋_GB2312" w:eastAsia="仿宋_GB2312" w:cs="仿宋_GB2312"/>
          <w:color w:val="000000" w:themeColor="text1"/>
          <w:sz w:val="28"/>
          <w:szCs w:val="28"/>
        </w:rPr>
        <w:t>0个标准分、</w:t>
      </w:r>
      <w:r>
        <w:rPr>
          <w:rFonts w:ascii="仿宋_GB2312" w:hAnsi="仿宋_GB2312" w:eastAsia="仿宋_GB2312" w:cs="仿宋_GB2312"/>
          <w:color w:val="000000" w:themeColor="text1"/>
          <w:sz w:val="28"/>
          <w:szCs w:val="28"/>
        </w:rPr>
        <w:t>5</w:t>
      </w:r>
      <w:r>
        <w:rPr>
          <w:rFonts w:hint="eastAsia" w:ascii="仿宋_GB2312" w:hAnsi="仿宋_GB2312" w:eastAsia="仿宋_GB2312" w:cs="仿宋_GB2312"/>
          <w:color w:val="000000" w:themeColor="text1"/>
          <w:sz w:val="28"/>
          <w:szCs w:val="28"/>
        </w:rPr>
        <w:t>0个标准分、</w:t>
      </w:r>
      <w:r>
        <w:rPr>
          <w:rFonts w:ascii="仿宋_GB2312" w:hAnsi="仿宋_GB2312" w:eastAsia="仿宋_GB2312" w:cs="仿宋_GB2312"/>
          <w:color w:val="000000" w:themeColor="text1"/>
          <w:sz w:val="28"/>
          <w:szCs w:val="28"/>
        </w:rPr>
        <w:t>3</w:t>
      </w:r>
      <w:r>
        <w:rPr>
          <w:rFonts w:hint="eastAsia" w:ascii="仿宋_GB2312" w:hAnsi="仿宋_GB2312" w:eastAsia="仿宋_GB2312" w:cs="仿宋_GB2312"/>
          <w:color w:val="000000" w:themeColor="text1"/>
          <w:sz w:val="28"/>
          <w:szCs w:val="28"/>
        </w:rPr>
        <w:t>0个标准分、20个标准分。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②校级师范生教学技能竞赛</w:t>
      </w:r>
      <w:bookmarkStart w:id="9" w:name="_Hlk508693683"/>
      <w:r>
        <w:rPr>
          <w:rFonts w:hint="eastAsia" w:ascii="仿宋_GB2312" w:hAnsi="仿宋_GB2312" w:eastAsia="仿宋_GB2312" w:cs="仿宋_GB2312"/>
          <w:color w:val="000000" w:themeColor="text1"/>
          <w:sz w:val="28"/>
          <w:szCs w:val="28"/>
        </w:rPr>
        <w:t>，</w:t>
      </w:r>
      <w:bookmarkStart w:id="10" w:name="_Hlk508693845"/>
      <w:r>
        <w:rPr>
          <w:rFonts w:hint="eastAsia" w:ascii="仿宋_GB2312" w:hAnsi="仿宋_GB2312" w:eastAsia="仿宋_GB2312" w:cs="仿宋_GB2312"/>
          <w:color w:val="000000" w:themeColor="text1"/>
          <w:sz w:val="28"/>
          <w:szCs w:val="28"/>
        </w:rPr>
        <w:t>一等奖、二等奖、三等奖分别计50个标准分、30个标准分、</w:t>
      </w:r>
      <w:r>
        <w:rPr>
          <w:rFonts w:ascii="仿宋_GB2312" w:hAnsi="仿宋_GB2312" w:eastAsia="仿宋_GB2312" w:cs="仿宋_GB2312"/>
          <w:color w:val="000000" w:themeColor="text1"/>
          <w:sz w:val="28"/>
          <w:szCs w:val="28"/>
        </w:rPr>
        <w:t>1</w:t>
      </w:r>
      <w:r>
        <w:rPr>
          <w:rFonts w:hint="eastAsia" w:ascii="仿宋_GB2312" w:hAnsi="仿宋_GB2312" w:eastAsia="仿宋_GB2312" w:cs="仿宋_GB2312"/>
          <w:color w:val="000000" w:themeColor="text1"/>
          <w:sz w:val="28"/>
          <w:szCs w:val="28"/>
        </w:rPr>
        <w:t>0</w:t>
      </w:r>
      <w:bookmarkEnd w:id="9"/>
      <w:bookmarkEnd w:id="10"/>
      <w:r>
        <w:rPr>
          <w:rFonts w:hint="eastAsia" w:ascii="仿宋_GB2312" w:hAnsi="仿宋_GB2312" w:eastAsia="仿宋_GB2312" w:cs="仿宋_GB2312"/>
          <w:color w:val="000000" w:themeColor="text1"/>
          <w:sz w:val="28"/>
          <w:szCs w:val="28"/>
        </w:rPr>
        <w:t>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③指导语言、文学、艺术等类竞赛获奖：</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bookmarkStart w:id="11" w:name="_Hlk508693745"/>
      <w:r>
        <w:rPr>
          <w:rFonts w:hint="eastAsia" w:ascii="仿宋_GB2312" w:hAnsi="仿宋_GB2312" w:eastAsia="仿宋_GB2312" w:cs="仿宋_GB2312"/>
          <w:color w:val="000000" w:themeColor="text1"/>
          <w:sz w:val="28"/>
          <w:szCs w:val="28"/>
        </w:rPr>
        <w:t>国家级按一等奖、二等奖、三等奖、优秀奖分别计100个标准分、80个标准分、50个标准分、20</w:t>
      </w:r>
      <w:bookmarkEnd w:id="11"/>
      <w:r>
        <w:rPr>
          <w:rFonts w:hint="eastAsia" w:ascii="仿宋_GB2312" w:hAnsi="仿宋_GB2312" w:eastAsia="仿宋_GB2312" w:cs="仿宋_GB2312"/>
          <w:color w:val="000000" w:themeColor="text1"/>
          <w:sz w:val="28"/>
          <w:szCs w:val="28"/>
        </w:rPr>
        <w:t xml:space="preserve">个标准分； </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省级按一等奖、二等奖、三等奖、优秀奖分别计50个标准分、30个标准分、20个标准分、10个标准分；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④教师指导学生学士学位论文获奖：</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省级优秀学士学位论文每篇计100分。</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（2）教师教学能力竞赛获奖</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包括教师参加的讲课、课件、微课等各类教师教学能力竞赛。</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①省部级按一等奖、二等奖、三等奖分别计100个标准分、60个标准分、40个标准分；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②校级按一等奖、二等奖、三等奖分别计50个标准分、30个标准分、20个标准分。</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（3）各类优秀评选获奖</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包括优秀教师、师德标兵、先进教学（教育）工作者、先进实验室工作者、优秀教学管理者、优秀实习指导教师、优秀班主任、教学年度考核（教学优秀及综合优秀）、</w:t>
      </w:r>
      <w:r>
        <w:rPr>
          <w:rFonts w:hint="eastAsia" w:ascii="仿宋_GB2312" w:hAnsi="仿宋_GB2312" w:eastAsia="仿宋_GB2312" w:cs="仿宋_GB2312"/>
          <w:sz w:val="28"/>
          <w:szCs w:val="28"/>
        </w:rPr>
        <w:t>学工年度考核优秀</w:t>
      </w:r>
      <w:r>
        <w:rPr>
          <w:rFonts w:hint="eastAsia" w:ascii="仿宋_GB2312" w:hAnsi="仿宋_GB2312" w:eastAsia="仿宋_GB2312" w:cs="仿宋_GB2312"/>
          <w:color w:val="000000" w:themeColor="text1"/>
          <w:sz w:val="28"/>
          <w:szCs w:val="28"/>
        </w:rPr>
        <w:t>等。</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国家级、省级、市级、校级分别计300个标准分、150个标准分、60个标准分、30个标准分。</w:t>
      </w:r>
    </w:p>
    <w:p>
      <w:pPr>
        <w:tabs>
          <w:tab w:val="left" w:pos="1785"/>
        </w:tabs>
        <w:adjustRightInd w:val="0"/>
        <w:snapToGrid w:val="0"/>
        <w:spacing w:line="560" w:lineRule="exact"/>
        <w:ind w:right="23" w:firstLine="562" w:firstLineChars="2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6、考试考务工作量</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（1）监考</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教师参加学校组织的各类国家级考试的监考（全国中小学教师资格考试、全国大学英语等级考试等），每场次计2个标准分。教师参加学校组织的各类考试考查的监考，每场次计1个标准分。</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（2）考试命题、阅卷</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包括学校组织的各类考试考查、学校组织的各类竞赛、选拔考试等命题、阅卷。命题按每份试卷3个标准分计，阅卷按每份试卷0.05个标准分计（少于10份的按10份计）。</w:t>
      </w:r>
    </w:p>
    <w:p>
      <w:pPr>
        <w:tabs>
          <w:tab w:val="left" w:pos="1785"/>
        </w:tabs>
        <w:adjustRightInd w:val="0"/>
        <w:snapToGrid w:val="0"/>
        <w:spacing w:line="560" w:lineRule="exact"/>
        <w:ind w:right="23" w:firstLine="562" w:firstLineChars="2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7、其他教育教学活动</w:t>
      </w:r>
      <w:bookmarkStart w:id="12" w:name="_Hlk508197340"/>
      <w:r>
        <w:rPr>
          <w:rFonts w:hint="eastAsia" w:ascii="仿宋_GB2312" w:hAnsi="仿宋_GB2312" w:eastAsia="仿宋_GB2312" w:cs="仿宋_GB2312"/>
          <w:b/>
          <w:bCs/>
          <w:color w:val="000000" w:themeColor="text1"/>
          <w:sz w:val="28"/>
          <w:szCs w:val="28"/>
        </w:rPr>
        <w:t>工作量</w:t>
      </w:r>
    </w:p>
    <w:bookmarkEnd w:id="12"/>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（1）教学督导员</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承担省属高校、学校及学院教学督导工作的督导员，按以下标准计算教学工作量：省级（150标准分/年），校级（100标准分/年），学院（50标准分/年）；</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（2）</w:t>
      </w:r>
      <w:bookmarkStart w:id="13" w:name="_Hlk508962368"/>
      <w:r>
        <w:rPr>
          <w:rFonts w:hint="eastAsia" w:ascii="楷体_GB2312" w:hAnsi="楷体_GB2312" w:eastAsia="楷体_GB2312" w:cs="楷体_GB2312"/>
          <w:b/>
          <w:bCs/>
          <w:color w:val="000000" w:themeColor="text1"/>
          <w:sz w:val="28"/>
          <w:szCs w:val="28"/>
        </w:rPr>
        <w:t>学生学业指导帮扶</w:t>
      </w:r>
      <w:bookmarkEnd w:id="13"/>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承担学生学业指导帮扶，每名学生每学年的补助工作量计20个标准分（若一名学生有多个指导帮扶老师，则学院择情分配）。</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（3）评审省级优秀学士学位论文</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评审省级学士学位论文，每篇计1个标准分，超过10篇按10篇计；</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bookmarkStart w:id="14" w:name="_Hlk512412395"/>
      <w:r>
        <w:rPr>
          <w:rFonts w:hint="eastAsia" w:ascii="楷体_GB2312" w:hAnsi="楷体_GB2312" w:eastAsia="楷体_GB2312" w:cs="楷体_GB2312"/>
          <w:b/>
          <w:bCs/>
          <w:color w:val="000000" w:themeColor="text1"/>
          <w:sz w:val="28"/>
          <w:szCs w:val="28"/>
        </w:rPr>
        <w:t>（4）指导青年教师</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按每学年每人40个标准分计；</w:t>
      </w:r>
    </w:p>
    <w:bookmarkEnd w:id="14"/>
    <w:p>
      <w:pPr>
        <w:tabs>
          <w:tab w:val="left" w:pos="1785"/>
        </w:tabs>
        <w:adjustRightInd w:val="0"/>
        <w:snapToGrid w:val="0"/>
        <w:spacing w:line="560" w:lineRule="exact"/>
        <w:ind w:right="23"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5</w:t>
      </w:r>
      <w:r>
        <w:rPr>
          <w:rFonts w:hint="eastAsia" w:ascii="楷体_GB2312" w:hAnsi="楷体_GB2312" w:eastAsia="楷体_GB2312" w:cs="楷体_GB2312"/>
          <w:b/>
          <w:bCs/>
          <w:sz w:val="28"/>
          <w:szCs w:val="28"/>
        </w:rPr>
        <w:t>）专职心理辅导教师</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按每学年每人</w:t>
      </w:r>
      <w:r>
        <w:rPr>
          <w:rFonts w:ascii="仿宋_GB2312" w:hAnsi="仿宋_GB2312" w:eastAsia="仿宋_GB2312" w:cs="仿宋_GB2312"/>
          <w:color w:val="000000" w:themeColor="text1"/>
          <w:sz w:val="28"/>
          <w:szCs w:val="28"/>
        </w:rPr>
        <w:t>8</w:t>
      </w:r>
      <w:r>
        <w:rPr>
          <w:rFonts w:hint="eastAsia" w:ascii="仿宋_GB2312" w:hAnsi="仿宋_GB2312" w:eastAsia="仿宋_GB2312" w:cs="仿宋_GB2312"/>
          <w:color w:val="000000" w:themeColor="text1"/>
          <w:sz w:val="28"/>
          <w:szCs w:val="28"/>
        </w:rPr>
        <w:t>0个标准分计；</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w:t>
      </w:r>
      <w:r>
        <w:rPr>
          <w:rFonts w:ascii="楷体_GB2312" w:hAnsi="楷体_GB2312" w:eastAsia="楷体_GB2312" w:cs="楷体_GB2312"/>
          <w:b/>
          <w:bCs/>
          <w:color w:val="000000" w:themeColor="text1"/>
          <w:sz w:val="28"/>
          <w:szCs w:val="28"/>
        </w:rPr>
        <w:t>6</w:t>
      </w:r>
      <w:r>
        <w:rPr>
          <w:rFonts w:hint="eastAsia" w:ascii="楷体_GB2312" w:hAnsi="楷体_GB2312" w:eastAsia="楷体_GB2312" w:cs="楷体_GB2312"/>
          <w:b/>
          <w:bCs/>
          <w:color w:val="000000" w:themeColor="text1"/>
          <w:sz w:val="28"/>
          <w:szCs w:val="28"/>
        </w:rPr>
        <w:t>）担任班主任</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每学年计50个标准分，同时担任多个班班主任的，每学年最多计80个标准分；</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w:t>
      </w:r>
      <w:r>
        <w:rPr>
          <w:rFonts w:ascii="楷体_GB2312" w:hAnsi="楷体_GB2312" w:eastAsia="楷体_GB2312" w:cs="楷体_GB2312"/>
          <w:b/>
          <w:bCs/>
          <w:color w:val="000000" w:themeColor="text1"/>
          <w:sz w:val="28"/>
          <w:szCs w:val="28"/>
        </w:rPr>
        <w:t>7</w:t>
      </w:r>
      <w:r>
        <w:rPr>
          <w:rFonts w:hint="eastAsia" w:ascii="楷体_GB2312" w:hAnsi="楷体_GB2312" w:eastAsia="楷体_GB2312" w:cs="楷体_GB2312"/>
          <w:b/>
          <w:bCs/>
          <w:color w:val="000000" w:themeColor="text1"/>
          <w:sz w:val="28"/>
          <w:szCs w:val="28"/>
        </w:rPr>
        <w:t>）主教练、主裁判</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①体育类教师任国家级赛事集体项目运动队的主教练</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bookmarkStart w:id="15" w:name="_Hlk508694332"/>
      <w:r>
        <w:rPr>
          <w:rFonts w:hint="eastAsia" w:ascii="仿宋_GB2312" w:hAnsi="仿宋_GB2312" w:eastAsia="仿宋_GB2312" w:cs="仿宋_GB2312"/>
          <w:color w:val="000000" w:themeColor="text1"/>
          <w:sz w:val="28"/>
          <w:szCs w:val="28"/>
        </w:rPr>
        <w:t>第一名、第二名、第三名分别计100个标准分、80个标准分、50</w:t>
      </w:r>
      <w:bookmarkEnd w:id="15"/>
      <w:r>
        <w:rPr>
          <w:rFonts w:hint="eastAsia" w:ascii="仿宋_GB2312" w:hAnsi="仿宋_GB2312" w:eastAsia="仿宋_GB2312" w:cs="仿宋_GB2312"/>
          <w:color w:val="000000" w:themeColor="text1"/>
          <w:sz w:val="28"/>
          <w:szCs w:val="28"/>
        </w:rPr>
        <w:t>个标准分，第四至六名均计30个标准分；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②国家级单项比赛主教练</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第一名、第二名、第三名分别计100个标准分、80个标准分、50个标准分；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③任省级赛事集体项目运动队的主教练</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第一名、第二名、第三名分别计50个标准分、30个标准分、20个标准分；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④任单项比赛冠军的主教练计50个标准分；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⑤具有国家级裁判及以上资格并在省级以上赛事担任过主裁判。计30个标准分；</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w:t>
      </w:r>
      <w:r>
        <w:rPr>
          <w:rFonts w:ascii="楷体_GB2312" w:hAnsi="楷体_GB2312" w:eastAsia="楷体_GB2312" w:cs="楷体_GB2312"/>
          <w:b/>
          <w:bCs/>
          <w:color w:val="000000" w:themeColor="text1"/>
          <w:sz w:val="28"/>
          <w:szCs w:val="28"/>
        </w:rPr>
        <w:t>8</w:t>
      </w:r>
      <w:r>
        <w:rPr>
          <w:rFonts w:hint="eastAsia" w:ascii="楷体_GB2312" w:hAnsi="楷体_GB2312" w:eastAsia="楷体_GB2312" w:cs="楷体_GB2312"/>
          <w:b/>
          <w:bCs/>
          <w:color w:val="000000" w:themeColor="text1"/>
          <w:sz w:val="28"/>
          <w:szCs w:val="28"/>
        </w:rPr>
        <w:t>）承担或参与教学文件的制定、修订工作</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教学文件包括人才培养方案（计30个标准分）、课程教学大纲（计10个标准分）、实验教学大纲（计10个标准分）、学院一级的改革与发展规划方案（计20个标准分）等教学文件。</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w:t>
      </w:r>
      <w:r>
        <w:rPr>
          <w:rFonts w:ascii="楷体_GB2312" w:hAnsi="楷体_GB2312" w:eastAsia="楷体_GB2312" w:cs="楷体_GB2312"/>
          <w:b/>
          <w:bCs/>
          <w:color w:val="000000" w:themeColor="text1"/>
          <w:sz w:val="28"/>
          <w:szCs w:val="28"/>
        </w:rPr>
        <w:t>9</w:t>
      </w:r>
      <w:r>
        <w:rPr>
          <w:rFonts w:hint="eastAsia" w:ascii="楷体_GB2312" w:hAnsi="楷体_GB2312" w:eastAsia="楷体_GB2312" w:cs="楷体_GB2312"/>
          <w:b/>
          <w:bCs/>
          <w:color w:val="000000" w:themeColor="text1"/>
          <w:sz w:val="28"/>
          <w:szCs w:val="28"/>
        </w:rPr>
        <w:t>）教学信息化建设与管理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承担学院教学网站维护与管理的，按每年30个标准分计；</w:t>
      </w:r>
    </w:p>
    <w:p>
      <w:pPr>
        <w:tabs>
          <w:tab w:val="left" w:pos="1785"/>
        </w:tabs>
        <w:adjustRightInd w:val="0"/>
        <w:snapToGrid w:val="0"/>
        <w:spacing w:line="560" w:lineRule="exact"/>
        <w:ind w:right="23" w:firstLine="562" w:firstLineChars="200"/>
        <w:rPr>
          <w:rFonts w:ascii="楷体_GB2312" w:hAnsi="楷体_GB2312" w:eastAsia="楷体_GB2312" w:cs="楷体_GB2312"/>
          <w:b/>
          <w:bCs/>
          <w:color w:val="000000" w:themeColor="text1"/>
          <w:sz w:val="28"/>
          <w:szCs w:val="28"/>
        </w:rPr>
      </w:pPr>
      <w:r>
        <w:rPr>
          <w:rFonts w:hint="eastAsia" w:ascii="楷体_GB2312" w:hAnsi="楷体_GB2312" w:eastAsia="楷体_GB2312" w:cs="楷体_GB2312"/>
          <w:b/>
          <w:bCs/>
          <w:color w:val="000000" w:themeColor="text1"/>
          <w:sz w:val="28"/>
          <w:szCs w:val="28"/>
        </w:rPr>
        <w:t>（</w:t>
      </w:r>
      <w:r>
        <w:rPr>
          <w:rFonts w:ascii="楷体_GB2312" w:hAnsi="楷体_GB2312" w:eastAsia="楷体_GB2312" w:cs="楷体_GB2312"/>
          <w:b/>
          <w:bCs/>
          <w:color w:val="000000" w:themeColor="text1"/>
          <w:sz w:val="28"/>
          <w:szCs w:val="28"/>
        </w:rPr>
        <w:t>10</w:t>
      </w:r>
      <w:r>
        <w:rPr>
          <w:rFonts w:hint="eastAsia" w:ascii="楷体_GB2312" w:hAnsi="楷体_GB2312" w:eastAsia="楷体_GB2312" w:cs="楷体_GB2312"/>
          <w:b/>
          <w:bCs/>
          <w:color w:val="000000" w:themeColor="text1"/>
          <w:sz w:val="28"/>
          <w:szCs w:val="28"/>
        </w:rPr>
        <w:t>）同一项目不重复计分，就高不就低。</w:t>
      </w:r>
    </w:p>
    <w:p>
      <w:pPr>
        <w:spacing w:line="312" w:lineRule="auto"/>
        <w:jc w:val="center"/>
        <w:outlineLvl w:val="1"/>
        <w:rPr>
          <w:rFonts w:ascii="方正黑体简体" w:hAnsi="方正黑体简体" w:eastAsia="方正黑体简体" w:cs="方正黑体简体"/>
          <w:bCs/>
          <w:color w:val="000000" w:themeColor="text1"/>
          <w:kern w:val="28"/>
          <w:sz w:val="28"/>
          <w:szCs w:val="28"/>
        </w:rPr>
      </w:pPr>
    </w:p>
    <w:p>
      <w:pPr>
        <w:spacing w:line="312" w:lineRule="auto"/>
        <w:jc w:val="center"/>
        <w:outlineLvl w:val="1"/>
        <w:rPr>
          <w:rFonts w:ascii="方正黑体简体" w:hAnsi="方正黑体简体" w:eastAsia="方正黑体简体" w:cs="方正黑体简体"/>
          <w:bCs/>
          <w:color w:val="000000" w:themeColor="text1"/>
          <w:kern w:val="28"/>
          <w:sz w:val="28"/>
          <w:szCs w:val="28"/>
        </w:rPr>
      </w:pPr>
      <w:r>
        <w:rPr>
          <w:rFonts w:hint="eastAsia" w:ascii="方正黑体简体" w:hAnsi="方正黑体简体" w:eastAsia="方正黑体简体" w:cs="方正黑体简体"/>
          <w:bCs/>
          <w:color w:val="000000" w:themeColor="text1"/>
          <w:kern w:val="28"/>
          <w:sz w:val="28"/>
          <w:szCs w:val="28"/>
        </w:rPr>
        <w:t>第三章  定额标准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方正黑体简体" w:hAnsi="方正黑体简体" w:eastAsia="方正黑体简体" w:cs="方正黑体简体"/>
          <w:color w:val="000000" w:themeColor="text1"/>
          <w:sz w:val="28"/>
          <w:szCs w:val="28"/>
        </w:rPr>
        <w:t>第七条</w:t>
      </w:r>
      <w:r>
        <w:rPr>
          <w:rFonts w:hint="eastAsia" w:ascii="仿宋_GB2312" w:hAnsi="仿宋_GB2312" w:eastAsia="仿宋_GB2312" w:cs="仿宋_GB2312"/>
          <w:color w:val="000000" w:themeColor="text1"/>
          <w:sz w:val="28"/>
          <w:szCs w:val="28"/>
        </w:rPr>
        <w:t xml:space="preserve">  根据学校教师工作量（含教学工作量和科研工作量）的改革思路，规定以下各级各类教学岗位每年额定教学工作量的标准学时和</w:t>
      </w:r>
      <w:bookmarkStart w:id="16" w:name="_Hlk508184074"/>
      <w:r>
        <w:rPr>
          <w:rFonts w:hint="eastAsia" w:ascii="仿宋_GB2312" w:hAnsi="仿宋_GB2312" w:eastAsia="仿宋_GB2312" w:cs="仿宋_GB2312"/>
          <w:color w:val="000000" w:themeColor="text1"/>
          <w:sz w:val="28"/>
          <w:szCs w:val="28"/>
        </w:rPr>
        <w:t>本科课堂教学年度最低定额</w:t>
      </w:r>
      <w:bookmarkEnd w:id="16"/>
      <w:r>
        <w:rPr>
          <w:rFonts w:hint="eastAsia" w:ascii="仿宋_GB2312" w:hAnsi="仿宋_GB2312" w:eastAsia="仿宋_GB2312" w:cs="仿宋_GB2312"/>
          <w:color w:val="000000" w:themeColor="text1"/>
          <w:sz w:val="28"/>
          <w:szCs w:val="28"/>
        </w:rPr>
        <w:t>，具体要求见表3。</w:t>
      </w:r>
    </w:p>
    <w:p>
      <w:pPr>
        <w:tabs>
          <w:tab w:val="left" w:pos="1785"/>
        </w:tabs>
        <w:adjustRightInd w:val="0"/>
        <w:snapToGrid w:val="0"/>
        <w:spacing w:line="560" w:lineRule="exact"/>
        <w:jc w:val="center"/>
        <w:rPr>
          <w:rFonts w:ascii="楷体_GB2312" w:hAnsi="楷体_GB2312" w:eastAsia="楷体_GB2312" w:cs="楷体_GB2312"/>
          <w:color w:val="000000" w:themeColor="text1"/>
          <w:sz w:val="28"/>
          <w:szCs w:val="28"/>
        </w:rPr>
      </w:pPr>
      <w:r>
        <w:rPr>
          <w:rFonts w:hint="eastAsia" w:ascii="楷体_GB2312" w:hAnsi="楷体_GB2312" w:eastAsia="楷体_GB2312" w:cs="楷体_GB2312"/>
          <w:color w:val="000000" w:themeColor="text1"/>
          <w:sz w:val="28"/>
          <w:szCs w:val="28"/>
        </w:rPr>
        <w:t>表3 各级各类教学岗位每年额定教学工作量要求</w:t>
      </w:r>
    </w:p>
    <w:tbl>
      <w:tblPr>
        <w:tblStyle w:val="9"/>
        <w:tblW w:w="864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461"/>
        <w:gridCol w:w="3516"/>
        <w:gridCol w:w="1759"/>
        <w:gridCol w:w="19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21" w:hRule="atLeast"/>
          <w:jc w:val="center"/>
        </w:trPr>
        <w:tc>
          <w:tcPr>
            <w:tcW w:w="1461" w:type="dxa"/>
            <w:tcBorders>
              <w:tl2br w:val="nil"/>
              <w:tr2bl w:val="nil"/>
            </w:tcBorders>
            <w:shd w:val="clear" w:color="auto" w:fill="auto"/>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岗位级别</w:t>
            </w:r>
          </w:p>
        </w:tc>
        <w:tc>
          <w:tcPr>
            <w:tcW w:w="3516" w:type="dxa"/>
            <w:tcBorders>
              <w:tl2br w:val="nil"/>
              <w:tr2bl w:val="nil"/>
            </w:tcBorders>
            <w:shd w:val="clear" w:color="auto" w:fill="auto"/>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岗位名称</w:t>
            </w:r>
          </w:p>
        </w:tc>
        <w:tc>
          <w:tcPr>
            <w:tcW w:w="1759"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年额定</w:t>
            </w:r>
            <w:r>
              <w:rPr>
                <w:rFonts w:hint="eastAsia" w:ascii="仿宋_GB2312" w:hAnsi="仿宋_GB2312" w:eastAsia="仿宋_GB2312" w:cs="仿宋_GB2312"/>
                <w:b/>
                <w:bCs/>
                <w:color w:val="000000" w:themeColor="text1"/>
                <w:sz w:val="24"/>
                <w:szCs w:val="24"/>
              </w:rPr>
              <w:br w:type="textWrapping"/>
            </w:r>
            <w:r>
              <w:rPr>
                <w:rFonts w:hint="eastAsia" w:ascii="仿宋_GB2312" w:hAnsi="仿宋_GB2312" w:eastAsia="仿宋_GB2312" w:cs="仿宋_GB2312"/>
                <w:b/>
                <w:bCs/>
                <w:color w:val="000000" w:themeColor="text1"/>
                <w:sz w:val="24"/>
                <w:szCs w:val="24"/>
              </w:rPr>
              <w:t>教学工作量</w:t>
            </w:r>
          </w:p>
        </w:tc>
        <w:tc>
          <w:tcPr>
            <w:tcW w:w="1904"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b/>
                <w:bCs/>
                <w:color w:val="000000" w:themeColor="text1"/>
                <w:sz w:val="24"/>
                <w:szCs w:val="24"/>
              </w:rPr>
            </w:pPr>
            <w:bookmarkStart w:id="17" w:name="_Hlk508183556"/>
            <w:r>
              <w:rPr>
                <w:rFonts w:hint="eastAsia" w:ascii="仿宋_GB2312" w:hAnsi="仿宋_GB2312" w:eastAsia="仿宋_GB2312" w:cs="仿宋_GB2312"/>
                <w:b/>
                <w:bCs/>
                <w:color w:val="000000" w:themeColor="text1"/>
                <w:sz w:val="24"/>
                <w:szCs w:val="24"/>
              </w:rPr>
              <w:t>本科课堂教学</w:t>
            </w:r>
          </w:p>
          <w:p>
            <w:pPr>
              <w:tabs>
                <w:tab w:val="left" w:pos="1260"/>
                <w:tab w:val="left" w:pos="1575"/>
              </w:tabs>
              <w:adjustRightInd w:val="0"/>
              <w:snapToGrid w:val="0"/>
              <w:spacing w:line="264" w:lineRule="auto"/>
              <w:ind w:right="23"/>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年度最低定额</w:t>
            </w:r>
            <w:bookmarkEnd w:id="1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1461" w:type="dxa"/>
            <w:tcBorders>
              <w:tl2br w:val="nil"/>
              <w:tr2bl w:val="nil"/>
            </w:tcBorders>
            <w:shd w:val="clear" w:color="auto" w:fill="auto"/>
            <w:vAlign w:val="center"/>
          </w:tcPr>
          <w:p>
            <w:pPr>
              <w:spacing w:line="264" w:lineRule="auto"/>
              <w:jc w:val="center"/>
              <w:rPr>
                <w:rFonts w:ascii="仿宋_GB2312" w:hAnsi="仿宋_GB2312" w:eastAsia="仿宋_GB2312" w:cs="仿宋_GB2312"/>
                <w:color w:val="000000" w:themeColor="text1"/>
                <w:szCs w:val="24"/>
              </w:rPr>
            </w:pPr>
            <w:r>
              <w:rPr>
                <w:rFonts w:hint="eastAsia" w:ascii="仿宋_GB2312" w:hAnsi="仿宋_GB2312" w:eastAsia="仿宋_GB2312" w:cs="仿宋_GB2312"/>
                <w:color w:val="000000" w:themeColor="text1"/>
                <w:szCs w:val="24"/>
              </w:rPr>
              <w:t>2级</w:t>
            </w:r>
          </w:p>
        </w:tc>
        <w:tc>
          <w:tcPr>
            <w:tcW w:w="3516" w:type="dxa"/>
            <w:tcBorders>
              <w:tl2br w:val="nil"/>
              <w:tr2bl w:val="nil"/>
            </w:tcBorders>
            <w:shd w:val="clear" w:color="auto" w:fill="auto"/>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教授（二级）</w:t>
            </w:r>
          </w:p>
        </w:tc>
        <w:tc>
          <w:tcPr>
            <w:tcW w:w="1759"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160</w:t>
            </w:r>
          </w:p>
        </w:tc>
        <w:tc>
          <w:tcPr>
            <w:tcW w:w="1904"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1461" w:type="dxa"/>
            <w:tcBorders>
              <w:tl2br w:val="nil"/>
              <w:tr2bl w:val="nil"/>
            </w:tcBorders>
            <w:shd w:val="clear" w:color="auto" w:fill="auto"/>
            <w:vAlign w:val="center"/>
          </w:tcPr>
          <w:p>
            <w:pPr>
              <w:spacing w:line="264" w:lineRule="auto"/>
              <w:jc w:val="center"/>
              <w:rPr>
                <w:rFonts w:ascii="仿宋_GB2312" w:hAnsi="仿宋_GB2312" w:eastAsia="仿宋_GB2312" w:cs="仿宋_GB2312"/>
                <w:color w:val="000000" w:themeColor="text1"/>
                <w:szCs w:val="24"/>
              </w:rPr>
            </w:pPr>
            <w:r>
              <w:rPr>
                <w:rFonts w:hint="eastAsia" w:ascii="仿宋_GB2312" w:hAnsi="仿宋_GB2312" w:eastAsia="仿宋_GB2312" w:cs="仿宋_GB2312"/>
                <w:color w:val="000000" w:themeColor="text1"/>
                <w:szCs w:val="24"/>
              </w:rPr>
              <w:t>3级</w:t>
            </w:r>
          </w:p>
        </w:tc>
        <w:tc>
          <w:tcPr>
            <w:tcW w:w="3516" w:type="dxa"/>
            <w:tcBorders>
              <w:tl2br w:val="nil"/>
              <w:tr2bl w:val="nil"/>
            </w:tcBorders>
            <w:shd w:val="clear" w:color="auto" w:fill="auto"/>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教授（三级）</w:t>
            </w:r>
          </w:p>
        </w:tc>
        <w:tc>
          <w:tcPr>
            <w:tcW w:w="1759"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180</w:t>
            </w:r>
          </w:p>
        </w:tc>
        <w:tc>
          <w:tcPr>
            <w:tcW w:w="1904"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1461" w:type="dxa"/>
            <w:tcBorders>
              <w:tl2br w:val="nil"/>
              <w:tr2bl w:val="nil"/>
            </w:tcBorders>
            <w:shd w:val="clear" w:color="auto" w:fill="auto"/>
            <w:vAlign w:val="center"/>
          </w:tcPr>
          <w:p>
            <w:pPr>
              <w:spacing w:line="264" w:lineRule="auto"/>
              <w:jc w:val="center"/>
              <w:rPr>
                <w:rFonts w:ascii="仿宋_GB2312" w:hAnsi="仿宋_GB2312" w:eastAsia="仿宋_GB2312" w:cs="仿宋_GB2312"/>
                <w:color w:val="000000" w:themeColor="text1"/>
                <w:szCs w:val="24"/>
              </w:rPr>
            </w:pPr>
            <w:r>
              <w:rPr>
                <w:rFonts w:hint="eastAsia" w:ascii="仿宋_GB2312" w:hAnsi="仿宋_GB2312" w:eastAsia="仿宋_GB2312" w:cs="仿宋_GB2312"/>
                <w:color w:val="000000" w:themeColor="text1"/>
                <w:szCs w:val="24"/>
              </w:rPr>
              <w:t>4级</w:t>
            </w:r>
          </w:p>
        </w:tc>
        <w:tc>
          <w:tcPr>
            <w:tcW w:w="3516" w:type="dxa"/>
            <w:tcBorders>
              <w:tl2br w:val="nil"/>
              <w:tr2bl w:val="nil"/>
            </w:tcBorders>
            <w:shd w:val="clear" w:color="auto" w:fill="auto"/>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教授（四级）</w:t>
            </w:r>
          </w:p>
        </w:tc>
        <w:tc>
          <w:tcPr>
            <w:tcW w:w="1759"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200</w:t>
            </w:r>
          </w:p>
        </w:tc>
        <w:tc>
          <w:tcPr>
            <w:tcW w:w="1904"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1461" w:type="dxa"/>
            <w:tcBorders>
              <w:tl2br w:val="nil"/>
              <w:tr2bl w:val="nil"/>
            </w:tcBorders>
            <w:shd w:val="clear" w:color="auto" w:fill="auto"/>
            <w:vAlign w:val="center"/>
          </w:tcPr>
          <w:p>
            <w:pPr>
              <w:spacing w:line="264" w:lineRule="auto"/>
              <w:jc w:val="center"/>
              <w:rPr>
                <w:rFonts w:ascii="仿宋_GB2312" w:hAnsi="仿宋_GB2312" w:eastAsia="仿宋_GB2312" w:cs="仿宋_GB2312"/>
                <w:color w:val="000000" w:themeColor="text1"/>
                <w:szCs w:val="24"/>
              </w:rPr>
            </w:pPr>
            <w:r>
              <w:rPr>
                <w:rFonts w:hint="eastAsia" w:ascii="仿宋_GB2312" w:hAnsi="仿宋_GB2312" w:eastAsia="仿宋_GB2312" w:cs="仿宋_GB2312"/>
                <w:color w:val="000000" w:themeColor="text1"/>
                <w:szCs w:val="24"/>
              </w:rPr>
              <w:t>5级</w:t>
            </w:r>
          </w:p>
        </w:tc>
        <w:tc>
          <w:tcPr>
            <w:tcW w:w="3516" w:type="dxa"/>
            <w:tcBorders>
              <w:tl2br w:val="nil"/>
              <w:tr2bl w:val="nil"/>
            </w:tcBorders>
            <w:shd w:val="clear" w:color="auto" w:fill="auto"/>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副教授（一级），高级实验师</w:t>
            </w:r>
          </w:p>
        </w:tc>
        <w:tc>
          <w:tcPr>
            <w:tcW w:w="1759"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220</w:t>
            </w:r>
          </w:p>
        </w:tc>
        <w:tc>
          <w:tcPr>
            <w:tcW w:w="1904"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1461" w:type="dxa"/>
            <w:tcBorders>
              <w:tl2br w:val="nil"/>
              <w:tr2bl w:val="nil"/>
            </w:tcBorders>
            <w:shd w:val="clear" w:color="auto" w:fill="auto"/>
            <w:vAlign w:val="center"/>
          </w:tcPr>
          <w:p>
            <w:pPr>
              <w:spacing w:line="264" w:lineRule="auto"/>
              <w:jc w:val="center"/>
              <w:rPr>
                <w:rFonts w:ascii="仿宋_GB2312" w:hAnsi="仿宋_GB2312" w:eastAsia="仿宋_GB2312" w:cs="仿宋_GB2312"/>
                <w:color w:val="000000" w:themeColor="text1"/>
                <w:szCs w:val="24"/>
              </w:rPr>
            </w:pPr>
            <w:r>
              <w:rPr>
                <w:rFonts w:hint="eastAsia" w:ascii="仿宋_GB2312" w:hAnsi="仿宋_GB2312" w:eastAsia="仿宋_GB2312" w:cs="仿宋_GB2312"/>
                <w:color w:val="000000" w:themeColor="text1"/>
                <w:szCs w:val="24"/>
              </w:rPr>
              <w:t>6级</w:t>
            </w:r>
          </w:p>
        </w:tc>
        <w:tc>
          <w:tcPr>
            <w:tcW w:w="3516" w:type="dxa"/>
            <w:tcBorders>
              <w:tl2br w:val="nil"/>
              <w:tr2bl w:val="nil"/>
            </w:tcBorders>
            <w:shd w:val="clear" w:color="auto" w:fill="auto"/>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副教授（二级），高级实验师</w:t>
            </w:r>
          </w:p>
        </w:tc>
        <w:tc>
          <w:tcPr>
            <w:tcW w:w="1759"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240</w:t>
            </w:r>
          </w:p>
        </w:tc>
        <w:tc>
          <w:tcPr>
            <w:tcW w:w="1904"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28" w:hRule="atLeast"/>
          <w:jc w:val="center"/>
        </w:trPr>
        <w:tc>
          <w:tcPr>
            <w:tcW w:w="1461" w:type="dxa"/>
            <w:tcBorders>
              <w:tl2br w:val="nil"/>
              <w:tr2bl w:val="nil"/>
            </w:tcBorders>
            <w:shd w:val="clear" w:color="auto" w:fill="auto"/>
            <w:vAlign w:val="center"/>
          </w:tcPr>
          <w:p>
            <w:pPr>
              <w:spacing w:line="264" w:lineRule="auto"/>
              <w:jc w:val="center"/>
              <w:rPr>
                <w:rFonts w:ascii="仿宋_GB2312" w:hAnsi="仿宋_GB2312" w:eastAsia="仿宋_GB2312" w:cs="仿宋_GB2312"/>
                <w:color w:val="000000" w:themeColor="text1"/>
                <w:szCs w:val="24"/>
              </w:rPr>
            </w:pPr>
            <w:r>
              <w:rPr>
                <w:rFonts w:hint="eastAsia" w:ascii="仿宋_GB2312" w:hAnsi="仿宋_GB2312" w:eastAsia="仿宋_GB2312" w:cs="仿宋_GB2312"/>
                <w:color w:val="000000" w:themeColor="text1"/>
                <w:szCs w:val="24"/>
              </w:rPr>
              <w:t>7级</w:t>
            </w:r>
          </w:p>
        </w:tc>
        <w:tc>
          <w:tcPr>
            <w:tcW w:w="3516" w:type="dxa"/>
            <w:tcBorders>
              <w:tl2br w:val="nil"/>
              <w:tr2bl w:val="nil"/>
            </w:tcBorders>
            <w:shd w:val="clear" w:color="auto" w:fill="auto"/>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副教授（三级），高级实验师</w:t>
            </w:r>
          </w:p>
        </w:tc>
        <w:tc>
          <w:tcPr>
            <w:tcW w:w="1759"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260</w:t>
            </w:r>
          </w:p>
        </w:tc>
        <w:tc>
          <w:tcPr>
            <w:tcW w:w="1904"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63" w:hRule="atLeast"/>
          <w:jc w:val="center"/>
        </w:trPr>
        <w:tc>
          <w:tcPr>
            <w:tcW w:w="1461" w:type="dxa"/>
            <w:tcBorders>
              <w:tl2br w:val="nil"/>
              <w:tr2bl w:val="nil"/>
            </w:tcBorders>
            <w:shd w:val="clear" w:color="auto" w:fill="auto"/>
            <w:vAlign w:val="center"/>
          </w:tcPr>
          <w:p>
            <w:pPr>
              <w:spacing w:line="264" w:lineRule="auto"/>
              <w:jc w:val="center"/>
              <w:rPr>
                <w:rFonts w:ascii="仿宋_GB2312" w:hAnsi="仿宋_GB2312" w:eastAsia="仿宋_GB2312" w:cs="仿宋_GB2312"/>
                <w:color w:val="000000" w:themeColor="text1"/>
                <w:szCs w:val="24"/>
              </w:rPr>
            </w:pPr>
            <w:r>
              <w:rPr>
                <w:rFonts w:hint="eastAsia" w:ascii="仿宋_GB2312" w:hAnsi="仿宋_GB2312" w:eastAsia="仿宋_GB2312" w:cs="仿宋_GB2312"/>
                <w:color w:val="000000" w:themeColor="text1"/>
                <w:szCs w:val="24"/>
              </w:rPr>
              <w:t>8级</w:t>
            </w:r>
          </w:p>
        </w:tc>
        <w:tc>
          <w:tcPr>
            <w:tcW w:w="3516" w:type="dxa"/>
            <w:tcBorders>
              <w:tl2br w:val="nil"/>
              <w:tr2bl w:val="nil"/>
            </w:tcBorders>
            <w:shd w:val="clear" w:color="auto" w:fill="auto"/>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讲师（一级），实验师</w:t>
            </w:r>
          </w:p>
        </w:tc>
        <w:tc>
          <w:tcPr>
            <w:tcW w:w="1759"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280</w:t>
            </w:r>
          </w:p>
        </w:tc>
        <w:tc>
          <w:tcPr>
            <w:tcW w:w="1904"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63" w:hRule="atLeast"/>
          <w:jc w:val="center"/>
        </w:trPr>
        <w:tc>
          <w:tcPr>
            <w:tcW w:w="1461" w:type="dxa"/>
            <w:tcBorders>
              <w:tl2br w:val="nil"/>
              <w:tr2bl w:val="nil"/>
            </w:tcBorders>
            <w:shd w:val="clear" w:color="auto" w:fill="auto"/>
            <w:vAlign w:val="center"/>
          </w:tcPr>
          <w:p>
            <w:pPr>
              <w:spacing w:line="264" w:lineRule="auto"/>
              <w:jc w:val="center"/>
              <w:rPr>
                <w:rFonts w:ascii="仿宋_GB2312" w:hAnsi="仿宋_GB2312" w:eastAsia="仿宋_GB2312" w:cs="仿宋_GB2312"/>
                <w:color w:val="000000" w:themeColor="text1"/>
                <w:szCs w:val="24"/>
              </w:rPr>
            </w:pPr>
            <w:r>
              <w:rPr>
                <w:rFonts w:hint="eastAsia" w:ascii="仿宋_GB2312" w:hAnsi="仿宋_GB2312" w:eastAsia="仿宋_GB2312" w:cs="仿宋_GB2312"/>
                <w:color w:val="000000" w:themeColor="text1"/>
                <w:szCs w:val="24"/>
              </w:rPr>
              <w:t>9级</w:t>
            </w:r>
          </w:p>
        </w:tc>
        <w:tc>
          <w:tcPr>
            <w:tcW w:w="3516" w:type="dxa"/>
            <w:tcBorders>
              <w:tl2br w:val="nil"/>
              <w:tr2bl w:val="nil"/>
            </w:tcBorders>
            <w:shd w:val="clear" w:color="auto" w:fill="auto"/>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讲师（二级），实验师</w:t>
            </w:r>
          </w:p>
        </w:tc>
        <w:tc>
          <w:tcPr>
            <w:tcW w:w="1759"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280</w:t>
            </w:r>
          </w:p>
        </w:tc>
        <w:tc>
          <w:tcPr>
            <w:tcW w:w="1904"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63" w:hRule="atLeast"/>
          <w:jc w:val="center"/>
        </w:trPr>
        <w:tc>
          <w:tcPr>
            <w:tcW w:w="1461" w:type="dxa"/>
            <w:tcBorders>
              <w:tl2br w:val="nil"/>
              <w:tr2bl w:val="nil"/>
            </w:tcBorders>
            <w:shd w:val="clear" w:color="auto" w:fill="auto"/>
            <w:vAlign w:val="center"/>
          </w:tcPr>
          <w:p>
            <w:pPr>
              <w:spacing w:line="264" w:lineRule="auto"/>
              <w:jc w:val="center"/>
              <w:rPr>
                <w:rFonts w:ascii="仿宋_GB2312" w:hAnsi="仿宋_GB2312" w:eastAsia="仿宋_GB2312" w:cs="仿宋_GB2312"/>
                <w:color w:val="000000" w:themeColor="text1"/>
                <w:szCs w:val="24"/>
              </w:rPr>
            </w:pPr>
            <w:r>
              <w:rPr>
                <w:rFonts w:hint="eastAsia" w:ascii="仿宋_GB2312" w:hAnsi="仿宋_GB2312" w:eastAsia="仿宋_GB2312" w:cs="仿宋_GB2312"/>
                <w:color w:val="000000" w:themeColor="text1"/>
                <w:szCs w:val="24"/>
              </w:rPr>
              <w:t>10级</w:t>
            </w:r>
          </w:p>
        </w:tc>
        <w:tc>
          <w:tcPr>
            <w:tcW w:w="3516" w:type="dxa"/>
            <w:tcBorders>
              <w:tl2br w:val="nil"/>
              <w:tr2bl w:val="nil"/>
            </w:tcBorders>
            <w:shd w:val="clear" w:color="auto" w:fill="auto"/>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讲师（三级），实验师</w:t>
            </w:r>
          </w:p>
        </w:tc>
        <w:tc>
          <w:tcPr>
            <w:tcW w:w="1759"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280</w:t>
            </w:r>
          </w:p>
        </w:tc>
        <w:tc>
          <w:tcPr>
            <w:tcW w:w="1904"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63" w:hRule="atLeast"/>
          <w:jc w:val="center"/>
        </w:trPr>
        <w:tc>
          <w:tcPr>
            <w:tcW w:w="1461" w:type="dxa"/>
            <w:tcBorders>
              <w:tl2br w:val="nil"/>
              <w:tr2bl w:val="nil"/>
            </w:tcBorders>
            <w:shd w:val="clear" w:color="auto" w:fill="auto"/>
            <w:vAlign w:val="center"/>
          </w:tcPr>
          <w:p>
            <w:pPr>
              <w:spacing w:line="264" w:lineRule="auto"/>
              <w:jc w:val="center"/>
              <w:rPr>
                <w:rFonts w:ascii="仿宋_GB2312" w:hAnsi="仿宋_GB2312" w:eastAsia="仿宋_GB2312" w:cs="仿宋_GB2312"/>
                <w:color w:val="000000" w:themeColor="text1"/>
                <w:szCs w:val="24"/>
              </w:rPr>
            </w:pPr>
            <w:r>
              <w:rPr>
                <w:rFonts w:hint="eastAsia" w:ascii="仿宋_GB2312" w:hAnsi="仿宋_GB2312" w:eastAsia="仿宋_GB2312" w:cs="仿宋_GB2312"/>
                <w:color w:val="000000" w:themeColor="text1"/>
                <w:szCs w:val="24"/>
              </w:rPr>
              <w:t>11级</w:t>
            </w:r>
          </w:p>
        </w:tc>
        <w:tc>
          <w:tcPr>
            <w:tcW w:w="3516" w:type="dxa"/>
            <w:tcBorders>
              <w:tl2br w:val="nil"/>
              <w:tr2bl w:val="nil"/>
            </w:tcBorders>
            <w:shd w:val="clear" w:color="auto" w:fill="auto"/>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*助教（一级），实验员</w:t>
            </w:r>
          </w:p>
        </w:tc>
        <w:tc>
          <w:tcPr>
            <w:tcW w:w="1759"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240</w:t>
            </w:r>
          </w:p>
        </w:tc>
        <w:tc>
          <w:tcPr>
            <w:tcW w:w="1904"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95" w:hRule="atLeast"/>
          <w:jc w:val="center"/>
        </w:trPr>
        <w:tc>
          <w:tcPr>
            <w:tcW w:w="1461" w:type="dxa"/>
            <w:tcBorders>
              <w:tl2br w:val="nil"/>
              <w:tr2bl w:val="nil"/>
            </w:tcBorders>
            <w:shd w:val="clear" w:color="auto" w:fill="auto"/>
            <w:vAlign w:val="center"/>
          </w:tcPr>
          <w:p>
            <w:pPr>
              <w:spacing w:line="264" w:lineRule="auto"/>
              <w:jc w:val="center"/>
              <w:rPr>
                <w:rFonts w:ascii="仿宋_GB2312" w:hAnsi="仿宋_GB2312" w:eastAsia="仿宋_GB2312" w:cs="仿宋_GB2312"/>
                <w:color w:val="000000" w:themeColor="text1"/>
                <w:szCs w:val="24"/>
              </w:rPr>
            </w:pPr>
            <w:r>
              <w:rPr>
                <w:rFonts w:hint="eastAsia" w:ascii="仿宋_GB2312" w:hAnsi="仿宋_GB2312" w:eastAsia="仿宋_GB2312" w:cs="仿宋_GB2312"/>
                <w:color w:val="000000" w:themeColor="text1"/>
                <w:szCs w:val="24"/>
              </w:rPr>
              <w:t>12级</w:t>
            </w:r>
          </w:p>
        </w:tc>
        <w:tc>
          <w:tcPr>
            <w:tcW w:w="3516" w:type="dxa"/>
            <w:tcBorders>
              <w:tl2br w:val="nil"/>
              <w:tr2bl w:val="nil"/>
            </w:tcBorders>
            <w:shd w:val="clear" w:color="auto" w:fill="auto"/>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*助教（二级），实验员</w:t>
            </w:r>
          </w:p>
        </w:tc>
        <w:tc>
          <w:tcPr>
            <w:tcW w:w="1759"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240</w:t>
            </w:r>
          </w:p>
        </w:tc>
        <w:tc>
          <w:tcPr>
            <w:tcW w:w="1904" w:type="dxa"/>
            <w:tcBorders>
              <w:tl2br w:val="nil"/>
              <w:tr2bl w:val="nil"/>
            </w:tcBorders>
            <w:vAlign w:val="center"/>
          </w:tcPr>
          <w:p>
            <w:pPr>
              <w:tabs>
                <w:tab w:val="left" w:pos="1260"/>
                <w:tab w:val="left" w:pos="1575"/>
              </w:tabs>
              <w:adjustRightInd w:val="0"/>
              <w:snapToGrid w:val="0"/>
              <w:spacing w:line="264" w:lineRule="auto"/>
              <w:ind w:right="23"/>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80</w:t>
            </w:r>
          </w:p>
        </w:tc>
      </w:tr>
    </w:tbl>
    <w:p>
      <w:pPr>
        <w:tabs>
          <w:tab w:val="left" w:pos="1785"/>
        </w:tabs>
        <w:adjustRightInd w:val="0"/>
        <w:snapToGrid w:val="0"/>
        <w:spacing w:line="340" w:lineRule="exact"/>
        <w:jc w:val="left"/>
        <w:rPr>
          <w:rFonts w:ascii="楷体_GB2312" w:hAnsi="楷体_GB2312" w:eastAsia="楷体_GB2312" w:cs="楷体_GB2312"/>
          <w:color w:val="000000" w:themeColor="text1"/>
          <w:sz w:val="28"/>
          <w:szCs w:val="28"/>
        </w:rPr>
      </w:pPr>
      <w:r>
        <w:rPr>
          <w:rFonts w:hint="eastAsia" w:ascii="楷体_GB2312" w:hAnsi="楷体_GB2312" w:eastAsia="楷体_GB2312" w:cs="楷体_GB2312"/>
          <w:color w:val="000000" w:themeColor="text1"/>
          <w:sz w:val="28"/>
          <w:szCs w:val="28"/>
        </w:rPr>
        <w:t>*</w:t>
      </w:r>
      <w:r>
        <w:rPr>
          <w:rFonts w:hint="eastAsia" w:ascii="楷体_GB2312" w:hAnsi="楷体_GB2312" w:eastAsia="楷体_GB2312" w:cs="楷体_GB2312"/>
          <w:color w:val="000000" w:themeColor="text1"/>
          <w:sz w:val="24"/>
          <w:szCs w:val="24"/>
        </w:rPr>
        <w:t>注：教师教学工作量由课堂教学工作量和非课程教学工作量两项构成。年度额定教学工作量和</w:t>
      </w:r>
      <w:bookmarkStart w:id="18" w:name="_Hlk508184509"/>
      <w:r>
        <w:rPr>
          <w:rFonts w:hint="eastAsia" w:ascii="楷体_GB2312" w:hAnsi="楷体_GB2312" w:eastAsia="楷体_GB2312" w:cs="楷体_GB2312"/>
          <w:color w:val="000000" w:themeColor="text1"/>
          <w:sz w:val="24"/>
          <w:szCs w:val="24"/>
        </w:rPr>
        <w:t>本科课堂教学年度最低定额</w:t>
      </w:r>
      <w:bookmarkEnd w:id="18"/>
      <w:r>
        <w:rPr>
          <w:rFonts w:hint="eastAsia" w:ascii="楷体_GB2312" w:hAnsi="楷体_GB2312" w:eastAsia="楷体_GB2312" w:cs="楷体_GB2312"/>
          <w:color w:val="000000" w:themeColor="text1"/>
          <w:sz w:val="24"/>
          <w:szCs w:val="24"/>
        </w:rPr>
        <w:t>是相应岗位必须完成的最低工作量要求，</w:t>
      </w:r>
      <w:r>
        <w:rPr>
          <w:rFonts w:hint="eastAsia" w:ascii="楷体_GB2312" w:hAnsi="楷体_GB2312" w:eastAsia="楷体_GB2312" w:cs="楷体_GB2312"/>
          <w:sz w:val="24"/>
          <w:szCs w:val="24"/>
        </w:rPr>
        <w:t>但并不是完成教学工作量的上限标准。</w:t>
      </w:r>
      <w:r>
        <w:rPr>
          <w:rFonts w:hint="eastAsia" w:ascii="楷体_GB2312" w:hAnsi="楷体_GB2312" w:eastAsia="楷体_GB2312" w:cs="楷体_GB2312"/>
          <w:color w:val="000000" w:themeColor="text1"/>
          <w:sz w:val="24"/>
          <w:szCs w:val="24"/>
        </w:rPr>
        <w:t xml:space="preserve"> </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方正黑体简体" w:hAnsi="方正黑体简体" w:eastAsia="方正黑体简体" w:cs="方正黑体简体"/>
          <w:color w:val="000000" w:themeColor="text1"/>
          <w:sz w:val="28"/>
          <w:szCs w:val="28"/>
        </w:rPr>
        <w:t>第八条</w:t>
      </w:r>
      <w:r>
        <w:rPr>
          <w:rFonts w:hint="eastAsia" w:ascii="仿宋_GB2312" w:hAnsi="仿宋_GB2312" w:eastAsia="仿宋_GB2312" w:cs="仿宋_GB2312"/>
          <w:color w:val="000000" w:themeColor="text1"/>
          <w:sz w:val="28"/>
          <w:szCs w:val="28"/>
        </w:rPr>
        <w:t xml:space="preserve">  具有专业任职资格的其他兼职教学人员额定工作量按以下规定执行（本科课堂教学年度最低定额不做要求）：</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1、学院三办主任、教研室（系、部）主任，额定教学工作量按上述标准3/4执行；</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2、担任学院党政领导的教师，额定教学工作量按上述标准的1/2执行；担任学校党政领导的教师，额定教学工作量按上述标准的1/4执行；</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3、在学校党政机关、教辅单位工作的教师，课堂教学周学时不得超过4学时，额定教学工作量按上述标准的1/3执行。</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4、教师系列的兼职教学秘书，额定教学工作量按3/5执行。</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经学校批准脱产攻读博士学位、国内外访问学者、进修学习或工作的教师，学习或工作期间未完成额定教学任务的，视为完成额定工作量；学习或工作期间同时又承担了校内教学任务的，其实际承担的教学工作量视为超额工作量。</w:t>
      </w:r>
    </w:p>
    <w:p>
      <w:pPr>
        <w:spacing w:line="312" w:lineRule="auto"/>
        <w:jc w:val="center"/>
        <w:outlineLvl w:val="1"/>
        <w:rPr>
          <w:rFonts w:ascii="方正黑体简体" w:hAnsi="方正黑体简体" w:eastAsia="方正黑体简体" w:cs="方正黑体简体"/>
          <w:bCs/>
          <w:color w:val="000000" w:themeColor="text1"/>
          <w:kern w:val="28"/>
          <w:sz w:val="28"/>
          <w:szCs w:val="28"/>
        </w:rPr>
      </w:pPr>
    </w:p>
    <w:p>
      <w:pPr>
        <w:spacing w:line="312" w:lineRule="auto"/>
        <w:jc w:val="center"/>
        <w:outlineLvl w:val="1"/>
        <w:rPr>
          <w:rFonts w:ascii="方正黑体简体" w:hAnsi="方正黑体简体" w:eastAsia="方正黑体简体" w:cs="方正黑体简体"/>
          <w:bCs/>
          <w:color w:val="000000" w:themeColor="text1"/>
          <w:kern w:val="28"/>
          <w:sz w:val="28"/>
          <w:szCs w:val="28"/>
        </w:rPr>
      </w:pPr>
      <w:r>
        <w:rPr>
          <w:rFonts w:hint="eastAsia" w:ascii="方正黑体简体" w:hAnsi="方正黑体简体" w:eastAsia="方正黑体简体" w:cs="方正黑体简体"/>
          <w:bCs/>
          <w:color w:val="000000" w:themeColor="text1"/>
          <w:kern w:val="28"/>
          <w:sz w:val="28"/>
          <w:szCs w:val="28"/>
        </w:rPr>
        <w:t>第四章  考核与管理</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方正黑体简体" w:hAnsi="方正黑体简体" w:eastAsia="方正黑体简体" w:cs="方正黑体简体"/>
          <w:color w:val="000000" w:themeColor="text1"/>
          <w:sz w:val="28"/>
          <w:szCs w:val="28"/>
        </w:rPr>
        <w:t>第九条</w:t>
      </w:r>
      <w:r>
        <w:rPr>
          <w:rFonts w:hint="eastAsia" w:ascii="仿宋_GB2312" w:hAnsi="仿宋_GB2312" w:eastAsia="仿宋_GB2312" w:cs="仿宋_GB2312"/>
          <w:color w:val="000000" w:themeColor="text1"/>
          <w:sz w:val="28"/>
          <w:szCs w:val="28"/>
        </w:rPr>
        <w:t xml:space="preserve">  每年度末进行教学工作量核定，跨学院承担教学任务的，由教师所在学院审核教学工作量。考核时由任课教师本人填写《年度教学工作量统计表》，必要时需提供原始证明材料，交所在单位考核小组审查，汇总后在本单位公示栏张榜公示，无异议后，经单位考核小组负责人签字盖章报教务处审核、人事处备案。</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方正黑体简体" w:hAnsi="方正黑体简体" w:eastAsia="方正黑体简体" w:cs="方正黑体简体"/>
          <w:color w:val="000000" w:themeColor="text1"/>
          <w:sz w:val="28"/>
          <w:szCs w:val="28"/>
        </w:rPr>
        <w:t xml:space="preserve">第十条 </w:t>
      </w:r>
      <w:r>
        <w:rPr>
          <w:rFonts w:hint="eastAsia" w:ascii="仿宋_GB2312" w:hAnsi="仿宋_GB2312" w:eastAsia="仿宋_GB2312" w:cs="仿宋_GB2312"/>
          <w:color w:val="000000" w:themeColor="text1"/>
          <w:sz w:val="28"/>
          <w:szCs w:val="28"/>
        </w:rPr>
        <w:t xml:space="preserve"> 教师每年必须完成相应的教师工作量（含教学工作量和科研工作量两部分），未完成“年额定教学工作量”或未完成“本科课堂教学年度最低定额”的，按照学校绩效管理的相关规定执行。</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方正黑体简体" w:hAnsi="方正黑体简体" w:eastAsia="方正黑体简体" w:cs="方正黑体简体"/>
          <w:color w:val="000000" w:themeColor="text1"/>
          <w:sz w:val="28"/>
          <w:szCs w:val="28"/>
        </w:rPr>
        <w:t>第十一条</w:t>
      </w:r>
      <w:r>
        <w:rPr>
          <w:rFonts w:hint="eastAsia" w:ascii="仿宋_GB2312" w:hAnsi="仿宋_GB2312" w:eastAsia="仿宋_GB2312" w:cs="仿宋_GB2312"/>
          <w:color w:val="000000" w:themeColor="text1"/>
          <w:sz w:val="28"/>
          <w:szCs w:val="28"/>
        </w:rPr>
        <w:t xml:space="preserve">  教师工作量是我校教师职称评定和教学优秀评选的重要依据。</w:t>
      </w:r>
      <w:bookmarkStart w:id="19" w:name="_Hlk508789255"/>
      <w:r>
        <w:rPr>
          <w:rFonts w:hint="eastAsia" w:ascii="仿宋_GB2312" w:hAnsi="仿宋_GB2312" w:eastAsia="仿宋_GB2312" w:cs="仿宋_GB2312"/>
          <w:color w:val="000000" w:themeColor="text1"/>
          <w:sz w:val="28"/>
          <w:szCs w:val="28"/>
        </w:rPr>
        <w:t>未完成“年额定教学工作量”或未完成“本科课堂教学年度最低定额”的，</w:t>
      </w:r>
      <w:bookmarkEnd w:id="19"/>
      <w:r>
        <w:rPr>
          <w:rFonts w:hint="eastAsia" w:ascii="仿宋_GB2312" w:hAnsi="仿宋_GB2312" w:eastAsia="仿宋_GB2312" w:cs="仿宋_GB2312"/>
          <w:color w:val="000000" w:themeColor="text1"/>
          <w:sz w:val="28"/>
          <w:szCs w:val="28"/>
        </w:rPr>
        <w:t>当年度考核不能评为教学优秀，不能参加各类教学荣誉称号的推荐。</w:t>
      </w:r>
    </w:p>
    <w:p>
      <w:pPr>
        <w:tabs>
          <w:tab w:val="left" w:pos="1785"/>
        </w:tabs>
        <w:adjustRightInd w:val="0"/>
        <w:snapToGrid w:val="0"/>
        <w:spacing w:line="560" w:lineRule="exact"/>
        <w:ind w:right="23" w:firstLine="560" w:firstLineChars="200"/>
        <w:rPr>
          <w:rFonts w:ascii="仿宋_GB2312" w:hAnsi="仿宋_GB2312" w:eastAsia="仿宋_GB2312" w:cs="仿宋_GB2312"/>
          <w:color w:val="000000" w:themeColor="text1"/>
          <w:sz w:val="28"/>
          <w:szCs w:val="28"/>
        </w:rPr>
      </w:pPr>
      <w:r>
        <w:rPr>
          <w:rFonts w:hint="eastAsia" w:ascii="方正黑体简体" w:hAnsi="方正黑体简体" w:eastAsia="方正黑体简体" w:cs="方正黑体简体"/>
          <w:color w:val="000000" w:themeColor="text1"/>
          <w:sz w:val="28"/>
          <w:szCs w:val="28"/>
        </w:rPr>
        <w:t>第十二条</w:t>
      </w:r>
      <w:r>
        <w:rPr>
          <w:rFonts w:hint="eastAsia" w:ascii="仿宋_GB2312" w:hAnsi="仿宋_GB2312" w:eastAsia="仿宋_GB2312" w:cs="仿宋_GB2312"/>
          <w:color w:val="000000" w:themeColor="text1"/>
          <w:sz w:val="28"/>
          <w:szCs w:val="28"/>
        </w:rPr>
        <w:t xml:space="preserve">  本办法自公布之日起执行，原办法废止；未尽事宜由教务处负责解释。</w:t>
      </w:r>
    </w:p>
    <w:sectPr>
      <w:footerReference r:id="rId3" w:type="default"/>
      <w:pgSz w:w="11906" w:h="16838"/>
      <w:pgMar w:top="2098" w:right="113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909170"/>
    </w:sdtPr>
    <w:sdtContent>
      <w:p>
        <w:pPr>
          <w:pStyle w:val="5"/>
          <w:jc w:val="cente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3</w:t>
        </w:r>
        <w:r>
          <w:rPr>
            <w:rFonts w:ascii="宋体" w:hAnsi="宋体"/>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16B1"/>
    <w:rsid w:val="00002164"/>
    <w:rsid w:val="0001341D"/>
    <w:rsid w:val="00025AD1"/>
    <w:rsid w:val="00027D22"/>
    <w:rsid w:val="00053FAF"/>
    <w:rsid w:val="00054A92"/>
    <w:rsid w:val="00062760"/>
    <w:rsid w:val="000659EE"/>
    <w:rsid w:val="000761B0"/>
    <w:rsid w:val="000D2644"/>
    <w:rsid w:val="000D75BF"/>
    <w:rsid w:val="000F66DD"/>
    <w:rsid w:val="00110932"/>
    <w:rsid w:val="00121FF1"/>
    <w:rsid w:val="00135452"/>
    <w:rsid w:val="00135D7F"/>
    <w:rsid w:val="00144086"/>
    <w:rsid w:val="00145FBC"/>
    <w:rsid w:val="00152886"/>
    <w:rsid w:val="001556AA"/>
    <w:rsid w:val="00156CF4"/>
    <w:rsid w:val="001A04AD"/>
    <w:rsid w:val="001A6F4F"/>
    <w:rsid w:val="001C28F6"/>
    <w:rsid w:val="001E1867"/>
    <w:rsid w:val="001E502C"/>
    <w:rsid w:val="001E6A55"/>
    <w:rsid w:val="001F0B50"/>
    <w:rsid w:val="002262E9"/>
    <w:rsid w:val="00227208"/>
    <w:rsid w:val="00233D9D"/>
    <w:rsid w:val="00242200"/>
    <w:rsid w:val="002516B1"/>
    <w:rsid w:val="002910DD"/>
    <w:rsid w:val="002974B5"/>
    <w:rsid w:val="002A6370"/>
    <w:rsid w:val="002A69B0"/>
    <w:rsid w:val="002A6F72"/>
    <w:rsid w:val="002B0D54"/>
    <w:rsid w:val="002D4342"/>
    <w:rsid w:val="002D6A7E"/>
    <w:rsid w:val="002D6B02"/>
    <w:rsid w:val="002E08C5"/>
    <w:rsid w:val="003261EE"/>
    <w:rsid w:val="0034686A"/>
    <w:rsid w:val="00347E66"/>
    <w:rsid w:val="003662BD"/>
    <w:rsid w:val="003805AD"/>
    <w:rsid w:val="0038585F"/>
    <w:rsid w:val="00395D6A"/>
    <w:rsid w:val="003A2BB4"/>
    <w:rsid w:val="003A4D74"/>
    <w:rsid w:val="003B230A"/>
    <w:rsid w:val="003D13A4"/>
    <w:rsid w:val="003D55E6"/>
    <w:rsid w:val="003E5875"/>
    <w:rsid w:val="003F3C73"/>
    <w:rsid w:val="003F6C27"/>
    <w:rsid w:val="00402605"/>
    <w:rsid w:val="00412180"/>
    <w:rsid w:val="00432CD1"/>
    <w:rsid w:val="0044711C"/>
    <w:rsid w:val="004943AE"/>
    <w:rsid w:val="004E6875"/>
    <w:rsid w:val="00530CBE"/>
    <w:rsid w:val="00553E00"/>
    <w:rsid w:val="0056069B"/>
    <w:rsid w:val="00564EDC"/>
    <w:rsid w:val="005739E6"/>
    <w:rsid w:val="0058545D"/>
    <w:rsid w:val="00585645"/>
    <w:rsid w:val="005A5993"/>
    <w:rsid w:val="005C01A6"/>
    <w:rsid w:val="005C4D55"/>
    <w:rsid w:val="005E0E56"/>
    <w:rsid w:val="00616057"/>
    <w:rsid w:val="00624A8B"/>
    <w:rsid w:val="00637307"/>
    <w:rsid w:val="00652F07"/>
    <w:rsid w:val="00693974"/>
    <w:rsid w:val="006A131E"/>
    <w:rsid w:val="006A63D3"/>
    <w:rsid w:val="006B3171"/>
    <w:rsid w:val="006B780D"/>
    <w:rsid w:val="006D6C12"/>
    <w:rsid w:val="006E4285"/>
    <w:rsid w:val="006E64C5"/>
    <w:rsid w:val="006F1E32"/>
    <w:rsid w:val="00737394"/>
    <w:rsid w:val="00747D62"/>
    <w:rsid w:val="007544A7"/>
    <w:rsid w:val="007713CB"/>
    <w:rsid w:val="00772C89"/>
    <w:rsid w:val="00775E25"/>
    <w:rsid w:val="007806ED"/>
    <w:rsid w:val="007A5C03"/>
    <w:rsid w:val="007A6A45"/>
    <w:rsid w:val="007C0151"/>
    <w:rsid w:val="007C3077"/>
    <w:rsid w:val="00800ED5"/>
    <w:rsid w:val="0081725C"/>
    <w:rsid w:val="00822006"/>
    <w:rsid w:val="00832238"/>
    <w:rsid w:val="0085589D"/>
    <w:rsid w:val="0087197D"/>
    <w:rsid w:val="00894725"/>
    <w:rsid w:val="008D47B1"/>
    <w:rsid w:val="008E62C6"/>
    <w:rsid w:val="008F0BBA"/>
    <w:rsid w:val="008F49CC"/>
    <w:rsid w:val="00900143"/>
    <w:rsid w:val="0090146C"/>
    <w:rsid w:val="00912812"/>
    <w:rsid w:val="00933B59"/>
    <w:rsid w:val="00946683"/>
    <w:rsid w:val="00947E59"/>
    <w:rsid w:val="00957264"/>
    <w:rsid w:val="009677F7"/>
    <w:rsid w:val="009B244A"/>
    <w:rsid w:val="009C095C"/>
    <w:rsid w:val="009F7432"/>
    <w:rsid w:val="00A11316"/>
    <w:rsid w:val="00A17590"/>
    <w:rsid w:val="00A24B56"/>
    <w:rsid w:val="00A24EE7"/>
    <w:rsid w:val="00A37FB3"/>
    <w:rsid w:val="00A43217"/>
    <w:rsid w:val="00A4386C"/>
    <w:rsid w:val="00A51978"/>
    <w:rsid w:val="00A947A8"/>
    <w:rsid w:val="00AB7191"/>
    <w:rsid w:val="00AD2E56"/>
    <w:rsid w:val="00AF099C"/>
    <w:rsid w:val="00AF0B94"/>
    <w:rsid w:val="00AF3471"/>
    <w:rsid w:val="00B03509"/>
    <w:rsid w:val="00B12889"/>
    <w:rsid w:val="00B2460A"/>
    <w:rsid w:val="00B52F01"/>
    <w:rsid w:val="00B576DB"/>
    <w:rsid w:val="00B722C9"/>
    <w:rsid w:val="00B76CAB"/>
    <w:rsid w:val="00BC1DE5"/>
    <w:rsid w:val="00BC6A25"/>
    <w:rsid w:val="00BD2878"/>
    <w:rsid w:val="00C021E6"/>
    <w:rsid w:val="00C55456"/>
    <w:rsid w:val="00C665C7"/>
    <w:rsid w:val="00CC1033"/>
    <w:rsid w:val="00CF1BBF"/>
    <w:rsid w:val="00D3072F"/>
    <w:rsid w:val="00D3545B"/>
    <w:rsid w:val="00D86324"/>
    <w:rsid w:val="00D86477"/>
    <w:rsid w:val="00DD5B70"/>
    <w:rsid w:val="00DD7AB3"/>
    <w:rsid w:val="00DE75C9"/>
    <w:rsid w:val="00E21039"/>
    <w:rsid w:val="00E4359F"/>
    <w:rsid w:val="00E52B09"/>
    <w:rsid w:val="00E64A86"/>
    <w:rsid w:val="00E66C8B"/>
    <w:rsid w:val="00E77B22"/>
    <w:rsid w:val="00E77D3D"/>
    <w:rsid w:val="00E91151"/>
    <w:rsid w:val="00E95E8F"/>
    <w:rsid w:val="00EA6B50"/>
    <w:rsid w:val="00EB1D2D"/>
    <w:rsid w:val="00EB7C90"/>
    <w:rsid w:val="00EB7CD7"/>
    <w:rsid w:val="00ED2650"/>
    <w:rsid w:val="00EE1A46"/>
    <w:rsid w:val="00EF0D82"/>
    <w:rsid w:val="00EF42A7"/>
    <w:rsid w:val="00EF6537"/>
    <w:rsid w:val="00F02A8C"/>
    <w:rsid w:val="00F16B02"/>
    <w:rsid w:val="00F443D1"/>
    <w:rsid w:val="00F81041"/>
    <w:rsid w:val="00F9137E"/>
    <w:rsid w:val="00F94F42"/>
    <w:rsid w:val="00FA1DC4"/>
    <w:rsid w:val="00FA49D3"/>
    <w:rsid w:val="00FA6A98"/>
    <w:rsid w:val="00FD2F8F"/>
    <w:rsid w:val="00FE40BD"/>
    <w:rsid w:val="0F417B53"/>
    <w:rsid w:val="160F55DB"/>
    <w:rsid w:val="18DA045C"/>
    <w:rsid w:val="19046A88"/>
    <w:rsid w:val="3876230C"/>
    <w:rsid w:val="47211FDF"/>
    <w:rsid w:val="4DAA5E14"/>
    <w:rsid w:val="5EAF6D65"/>
    <w:rsid w:val="63D91601"/>
    <w:rsid w:val="6CFC06E4"/>
    <w:rsid w:val="6FA226EA"/>
    <w:rsid w:val="722D5FAB"/>
    <w:rsid w:val="7EB4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2"/>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10">
    <w:name w:val="页脚 Char"/>
    <w:basedOn w:val="7"/>
    <w:link w:val="5"/>
    <w:qFormat/>
    <w:uiPriority w:val="99"/>
    <w:rPr>
      <w:sz w:val="18"/>
      <w:szCs w:val="18"/>
    </w:rPr>
  </w:style>
  <w:style w:type="character" w:customStyle="1" w:styleId="11">
    <w:name w:val="页眉 Char"/>
    <w:basedOn w:val="7"/>
    <w:link w:val="6"/>
    <w:qFormat/>
    <w:uiPriority w:val="99"/>
    <w:rPr>
      <w:sz w:val="18"/>
      <w:szCs w:val="18"/>
    </w:rPr>
  </w:style>
  <w:style w:type="character" w:customStyle="1" w:styleId="12">
    <w:name w:val="批注框文本 Char"/>
    <w:basedOn w:val="7"/>
    <w:link w:val="4"/>
    <w:semiHidden/>
    <w:qFormat/>
    <w:uiPriority w:val="99"/>
    <w:rPr>
      <w:sz w:val="18"/>
      <w:szCs w:val="18"/>
    </w:rPr>
  </w:style>
  <w:style w:type="character" w:customStyle="1" w:styleId="13">
    <w:name w:val="批注文字 Char"/>
    <w:basedOn w:val="7"/>
    <w:link w:val="3"/>
    <w:semiHidden/>
    <w:qFormat/>
    <w:uiPriority w:val="99"/>
  </w:style>
  <w:style w:type="character" w:customStyle="1" w:styleId="14">
    <w:name w:val="批注主题 Char"/>
    <w:basedOn w:val="13"/>
    <w:link w:val="2"/>
    <w:semiHidden/>
    <w:qFormat/>
    <w:uiPriority w:val="99"/>
    <w:rPr>
      <w:b/>
      <w:bCs/>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403F0-3BA5-4347-A067-285E83637972}">
  <ds:schemaRefs/>
</ds:datastoreItem>
</file>

<file path=docProps/app.xml><?xml version="1.0" encoding="utf-8"?>
<Properties xmlns="http://schemas.openxmlformats.org/officeDocument/2006/extended-properties" xmlns:vt="http://schemas.openxmlformats.org/officeDocument/2006/docPropsVTypes">
  <Template>Normal</Template>
  <Pages>13</Pages>
  <Words>952</Words>
  <Characters>5432</Characters>
  <Lines>45</Lines>
  <Paragraphs>12</Paragraphs>
  <TotalTime>14</TotalTime>
  <ScaleCrop>false</ScaleCrop>
  <LinksUpToDate>false</LinksUpToDate>
  <CharactersWithSpaces>6372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2018-07-26T08:57:00Z</dcterms:created>
  <dc:creator>秦海涛</dc:creator>
  <cp:lastModifiedBy>卫拉多纳</cp:lastModifiedBy>
  <cp:lastPrinted>2018-03-08T02:37:00Z</cp:lastPrinted>
  <dcterms:modified xsi:type="dcterms:W3CDTF">2018-10-12T02:39:39Z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