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3E30A5">
      <w:pPr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附件</w:t>
      </w: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4</w:t>
      </w:r>
      <w:r>
        <w:rPr>
          <w:rFonts w:hint="eastAsia" w:ascii="华文中宋" w:hAnsi="华文中宋" w:eastAsia="华文中宋" w:cs="华文中宋"/>
          <w:sz w:val="36"/>
          <w:szCs w:val="36"/>
        </w:rPr>
        <w:t>：</w:t>
      </w:r>
    </w:p>
    <w:p w14:paraId="36C1B4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309" w:line="560" w:lineRule="exact"/>
        <w:ind w:left="2425"/>
        <w:textAlignment w:val="auto"/>
        <w:outlineLvl w:val="0"/>
        <w:rPr>
          <w:rFonts w:hint="eastAsia" w:ascii="华文中宋" w:hAnsi="华文中宋" w:eastAsia="华文中宋" w:cs="华文中宋"/>
          <w:sz w:val="44"/>
          <w:szCs w:val="44"/>
        </w:rPr>
      </w:pPr>
      <w:bookmarkStart w:id="0" w:name="OLE_LINK21"/>
      <w:r>
        <w:rPr>
          <w:rFonts w:hint="eastAsia" w:ascii="华文中宋" w:hAnsi="华文中宋" w:eastAsia="华文中宋" w:cs="华文中宋"/>
          <w:spacing w:val="1"/>
          <w:sz w:val="44"/>
          <w:szCs w:val="44"/>
        </w:rPr>
        <w:t>教学节段目录（范例）</w:t>
      </w:r>
      <w:bookmarkEnd w:id="0"/>
    </w:p>
    <w:p w14:paraId="5DB2D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78" w:line="240" w:lineRule="auto"/>
        <w:ind w:left="11" w:right="917" w:hanging="11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《医学遗传学》教学大纲中基本教学内容共 </w:t>
      </w:r>
      <w:r>
        <w:rPr>
          <w:rFonts w:hint="eastAsia" w:ascii="仿宋_GB2312" w:hAnsi="仿宋_GB2312" w:eastAsia="仿宋_GB2312" w:cs="仿宋_GB2312"/>
          <w:b/>
          <w:bCs/>
          <w:spacing w:val="-1"/>
          <w:sz w:val="24"/>
          <w:szCs w:val="24"/>
        </w:rPr>
        <w:t>14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</w:rPr>
        <w:t xml:space="preserve"> 章，此次教学设计的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1"/>
          <w:sz w:val="24"/>
          <w:szCs w:val="24"/>
          <w:u w:val="none"/>
        </w:rPr>
        <w:t>个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节段分别选自第</w:t>
      </w:r>
      <w:r>
        <w:rPr>
          <w:rFonts w:hint="eastAsia" w:ascii="仿宋_GB2312" w:hAnsi="仿宋_GB2312" w:eastAsia="仿宋_GB2312" w:cs="仿宋_GB2312"/>
          <w:spacing w:val="3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pacing w:val="-4"/>
          <w:sz w:val="24"/>
          <w:szCs w:val="24"/>
        </w:rPr>
        <w:t>1-</w:t>
      </w:r>
      <w:r>
        <w:rPr>
          <w:rFonts w:hint="eastAsia" w:ascii="仿宋_GB2312" w:hAnsi="仿宋_GB2312" w:eastAsia="仿宋_GB2312" w:cs="仿宋_GB2312"/>
          <w:b/>
          <w:bCs/>
          <w:spacing w:val="-4"/>
          <w:sz w:val="24"/>
          <w:szCs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4"/>
          <w:sz w:val="24"/>
          <w:szCs w:val="24"/>
        </w:rPr>
        <w:t>章。</w:t>
      </w:r>
    </w:p>
    <w:sdt>
      <w:sdtPr>
        <w:rPr>
          <w:rFonts w:hint="eastAsia" w:ascii="仿宋_GB2312" w:hAnsi="仿宋_GB2312" w:eastAsia="仿宋_GB2312" w:cs="仿宋_GB2312"/>
          <w:sz w:val="24"/>
          <w:szCs w:val="24"/>
        </w:rPr>
        <w:id w:val="147479700"/>
        <w:docPartObj>
          <w:docPartGallery w:val="Table of Contents"/>
          <w:docPartUnique/>
        </w:docPartObj>
      </w:sdtPr>
      <w:sdtEndPr>
        <w:rPr>
          <w:rFonts w:hint="eastAsia" w:ascii="仿宋_GB2312" w:hAnsi="仿宋_GB2312" w:eastAsia="仿宋_GB2312" w:cs="仿宋_GB2312"/>
          <w:sz w:val="24"/>
          <w:szCs w:val="24"/>
        </w:rPr>
      </w:sdtEndPr>
      <w:sdtContent>
        <w:p w14:paraId="37C42848">
          <w:pPr>
            <w:keepNext w:val="0"/>
            <w:keepLines w:val="0"/>
            <w:pageBreakBefore w:val="0"/>
            <w:widowControl w:val="0"/>
            <w:tabs>
              <w:tab w:val="right" w:leader="dot" w:pos="8274"/>
            </w:tabs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before="37" w:line="240" w:lineRule="auto"/>
            <w:ind w:left="19"/>
            <w:textAlignment w:val="auto"/>
            <w:rPr>
              <w:rFonts w:hint="eastAsia" w:ascii="仿宋_GB2312" w:hAnsi="仿宋_GB2312" w:eastAsia="仿宋_GB2312" w:cs="仿宋_GB2312"/>
              <w:sz w:val="24"/>
              <w:szCs w:val="24"/>
            </w:rPr>
          </w:pPr>
          <w:r>
            <w:rPr>
              <w:rFonts w:hint="eastAsia" w:ascii="仿宋_GB2312" w:hAnsi="仿宋_GB2312" w:eastAsia="仿宋_GB2312" w:cs="仿宋_GB2312"/>
              <w:spacing w:val="-3"/>
              <w:sz w:val="24"/>
              <w:szCs w:val="24"/>
            </w:rPr>
            <w:t>1. 人类遗传病的概述</w:t>
          </w:r>
          <w:r>
            <w:rPr>
              <w:rFonts w:hint="eastAsia" w:ascii="仿宋_GB2312" w:hAnsi="仿宋_GB2312" w:eastAsia="仿宋_GB2312" w:cs="仿宋_GB2312"/>
              <w:spacing w:val="-74"/>
              <w:sz w:val="24"/>
              <w:szCs w:val="24"/>
            </w:rPr>
            <w:t xml:space="preserve"> </w:t>
          </w:r>
          <w:r>
            <w:rPr>
              <w:rFonts w:hint="eastAsia" w:ascii="仿宋_GB2312" w:hAnsi="仿宋_GB2312" w:eastAsia="仿宋_GB2312" w:cs="仿宋_GB2312"/>
              <w:sz w:val="24"/>
              <w:szCs w:val="24"/>
            </w:rPr>
            <w:tab/>
          </w:r>
          <w:r>
            <w:rPr>
              <w:rFonts w:hint="eastAsia" w:ascii="仿宋_GB2312" w:hAnsi="仿宋_GB2312" w:eastAsia="仿宋_GB2312" w:cs="仿宋_GB2312"/>
            </w:rPr>
            <w:fldChar w:fldCharType="begin"/>
          </w:r>
          <w:r>
            <w:rPr>
              <w:rFonts w:hint="eastAsia" w:ascii="仿宋_GB2312" w:hAnsi="仿宋_GB2312" w:eastAsia="仿宋_GB2312" w:cs="仿宋_GB2312"/>
            </w:rPr>
            <w:instrText xml:space="preserve"> HYPERLINK \l "bookmark1" </w:instrText>
          </w:r>
          <w:r>
            <w:rPr>
              <w:rFonts w:hint="eastAsia" w:ascii="仿宋_GB2312" w:hAnsi="仿宋_GB2312" w:eastAsia="仿宋_GB2312" w:cs="仿宋_GB231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24"/>
              <w:szCs w:val="24"/>
            </w:rPr>
            <w:t>0</w:t>
          </w:r>
          <w:r>
            <w:rPr>
              <w:rFonts w:hint="eastAsia" w:ascii="仿宋_GB2312" w:hAnsi="仿宋_GB2312" w:eastAsia="仿宋_GB2312" w:cs="仿宋_GB2312"/>
              <w:sz w:val="24"/>
              <w:szCs w:val="24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24"/>
              <w:szCs w:val="24"/>
            </w:rPr>
            <w:t>2</w:t>
          </w:r>
        </w:p>
        <w:p w14:paraId="1EF234B1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before="181" w:line="240" w:lineRule="auto"/>
            <w:ind w:left="0"/>
            <w:textAlignment w:val="auto"/>
            <w:rPr>
              <w:rFonts w:hint="eastAsia" w:ascii="仿宋_GB2312" w:hAnsi="仿宋_GB2312" w:eastAsia="仿宋_GB2312" w:cs="仿宋_GB2312"/>
              <w:sz w:val="24"/>
              <w:szCs w:val="24"/>
            </w:rPr>
          </w:pPr>
          <w:r>
            <w:rPr>
              <w:rFonts w:hint="eastAsia" w:ascii="仿宋_GB2312" w:hAnsi="仿宋_GB2312" w:eastAsia="仿宋_GB2312" w:cs="仿宋_GB2312"/>
              <w:spacing w:val="-1"/>
              <w:sz w:val="24"/>
              <w:szCs w:val="24"/>
            </w:rPr>
            <w:t>选自第一章：绪论/ 第三节：遗传性疾病概述</w:t>
          </w:r>
        </w:p>
        <w:p w14:paraId="10586AC5">
          <w:pPr>
            <w:keepNext w:val="0"/>
            <w:keepLines w:val="0"/>
            <w:pageBreakBefore w:val="0"/>
            <w:widowControl w:val="0"/>
            <w:tabs>
              <w:tab w:val="right" w:leader="dot" w:pos="8274"/>
            </w:tabs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before="182" w:line="240" w:lineRule="auto"/>
            <w:ind w:left="13"/>
            <w:textAlignment w:val="auto"/>
            <w:rPr>
              <w:rFonts w:hint="eastAsia" w:ascii="仿宋_GB2312" w:hAnsi="仿宋_GB2312" w:eastAsia="仿宋_GB2312" w:cs="仿宋_GB2312"/>
              <w:sz w:val="24"/>
              <w:szCs w:val="24"/>
            </w:rPr>
          </w:pPr>
          <w:r>
            <w:rPr>
              <w:rFonts w:hint="eastAsia" w:ascii="仿宋_GB2312" w:hAnsi="仿宋_GB2312" w:eastAsia="仿宋_GB2312" w:cs="仿宋_GB2312"/>
              <w:spacing w:val="-4"/>
              <w:sz w:val="24"/>
              <w:szCs w:val="24"/>
            </w:rPr>
            <w:t>2. X</w:t>
          </w:r>
          <w:r>
            <w:rPr>
              <w:rFonts w:hint="eastAsia" w:ascii="仿宋_GB2312" w:hAnsi="仿宋_GB2312" w:eastAsia="仿宋_GB2312" w:cs="仿宋_GB2312"/>
              <w:spacing w:val="20"/>
              <w:sz w:val="24"/>
              <w:szCs w:val="24"/>
            </w:rPr>
            <w:t xml:space="preserve"> </w:t>
          </w:r>
          <w:r>
            <w:rPr>
              <w:rFonts w:hint="eastAsia" w:ascii="仿宋_GB2312" w:hAnsi="仿宋_GB2312" w:eastAsia="仿宋_GB2312" w:cs="仿宋_GB2312"/>
              <w:spacing w:val="-4"/>
              <w:sz w:val="24"/>
              <w:szCs w:val="24"/>
            </w:rPr>
            <w:t>染色质的失活</w:t>
          </w:r>
          <w:r>
            <w:rPr>
              <w:rFonts w:hint="eastAsia" w:ascii="仿宋_GB2312" w:hAnsi="仿宋_GB2312" w:eastAsia="仿宋_GB2312" w:cs="仿宋_GB2312"/>
              <w:spacing w:val="-81"/>
              <w:sz w:val="24"/>
              <w:szCs w:val="24"/>
            </w:rPr>
            <w:t xml:space="preserve"> </w:t>
          </w:r>
          <w:r>
            <w:rPr>
              <w:rFonts w:hint="eastAsia" w:ascii="仿宋_GB2312" w:hAnsi="仿宋_GB2312" w:eastAsia="仿宋_GB2312" w:cs="仿宋_GB2312"/>
              <w:sz w:val="24"/>
              <w:szCs w:val="24"/>
            </w:rPr>
            <w:tab/>
          </w:r>
          <w:r>
            <w:rPr>
              <w:rFonts w:hint="eastAsia" w:ascii="仿宋_GB2312" w:hAnsi="仿宋_GB2312" w:eastAsia="仿宋_GB2312" w:cs="仿宋_GB2312"/>
            </w:rPr>
            <w:fldChar w:fldCharType="begin"/>
          </w:r>
          <w:r>
            <w:rPr>
              <w:rFonts w:hint="eastAsia" w:ascii="仿宋_GB2312" w:hAnsi="仿宋_GB2312" w:eastAsia="仿宋_GB2312" w:cs="仿宋_GB2312"/>
            </w:rPr>
            <w:instrText xml:space="preserve"> HYPERLINK \l "bookmark2" </w:instrText>
          </w:r>
          <w:r>
            <w:rPr>
              <w:rFonts w:hint="eastAsia" w:ascii="仿宋_GB2312" w:hAnsi="仿宋_GB2312" w:eastAsia="仿宋_GB2312" w:cs="仿宋_GB231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24"/>
              <w:szCs w:val="24"/>
            </w:rPr>
            <w:t>0</w:t>
          </w:r>
          <w:r>
            <w:rPr>
              <w:rFonts w:hint="eastAsia" w:ascii="仿宋_GB2312" w:hAnsi="仿宋_GB2312" w:eastAsia="仿宋_GB2312" w:cs="仿宋_GB2312"/>
              <w:sz w:val="24"/>
              <w:szCs w:val="24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24"/>
              <w:szCs w:val="24"/>
            </w:rPr>
            <w:t>6</w:t>
          </w:r>
        </w:p>
        <w:p w14:paraId="0F09C9FC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before="183" w:line="240" w:lineRule="auto"/>
            <w:ind w:left="7"/>
            <w:textAlignment w:val="auto"/>
            <w:rPr>
              <w:rFonts w:hint="eastAsia" w:ascii="仿宋_GB2312" w:hAnsi="仿宋_GB2312" w:eastAsia="仿宋_GB2312" w:cs="仿宋_GB2312"/>
              <w:sz w:val="24"/>
              <w:szCs w:val="24"/>
            </w:rPr>
          </w:pPr>
          <w:r>
            <w:rPr>
              <w:rFonts w:hint="eastAsia" w:ascii="仿宋_GB2312" w:hAnsi="仿宋_GB2312" w:eastAsia="仿宋_GB2312" w:cs="仿宋_GB2312"/>
              <w:spacing w:val="-1"/>
              <w:sz w:val="24"/>
              <w:szCs w:val="24"/>
            </w:rPr>
            <w:t>选自第二章：遗传的细胞基础/ 第二节：性染色质</w:t>
          </w:r>
        </w:p>
        <w:p w14:paraId="5909C7D5">
          <w:pPr>
            <w:keepNext w:val="0"/>
            <w:keepLines w:val="0"/>
            <w:pageBreakBefore w:val="0"/>
            <w:widowControl w:val="0"/>
            <w:tabs>
              <w:tab w:val="right" w:leader="dot" w:pos="8274"/>
            </w:tabs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before="181" w:line="240" w:lineRule="auto"/>
            <w:ind w:left="23"/>
            <w:textAlignment w:val="auto"/>
            <w:rPr>
              <w:rFonts w:hint="eastAsia" w:ascii="仿宋_GB2312" w:hAnsi="仿宋_GB2312" w:eastAsia="仿宋_GB2312" w:cs="仿宋_GB2312"/>
              <w:sz w:val="24"/>
              <w:szCs w:val="24"/>
            </w:rPr>
          </w:pPr>
          <w:r>
            <w:rPr>
              <w:rFonts w:hint="eastAsia" w:ascii="仿宋_GB2312" w:hAnsi="仿宋_GB2312" w:eastAsia="仿宋_GB2312" w:cs="仿宋_GB2312"/>
              <w:spacing w:val="-3"/>
              <w:sz w:val="24"/>
              <w:szCs w:val="24"/>
            </w:rPr>
            <w:t>3. 决定人类性别的机制</w:t>
          </w:r>
          <w:r>
            <w:rPr>
              <w:rFonts w:hint="eastAsia" w:ascii="仿宋_GB2312" w:hAnsi="仿宋_GB2312" w:eastAsia="仿宋_GB2312" w:cs="仿宋_GB2312"/>
              <w:spacing w:val="-74"/>
              <w:sz w:val="24"/>
              <w:szCs w:val="24"/>
            </w:rPr>
            <w:t xml:space="preserve"> </w:t>
          </w:r>
          <w:r>
            <w:rPr>
              <w:rFonts w:hint="eastAsia" w:ascii="仿宋_GB2312" w:hAnsi="仿宋_GB2312" w:eastAsia="仿宋_GB2312" w:cs="仿宋_GB2312"/>
              <w:sz w:val="24"/>
              <w:szCs w:val="24"/>
            </w:rPr>
            <w:tab/>
          </w:r>
          <w:r>
            <w:rPr>
              <w:rFonts w:hint="eastAsia" w:ascii="仿宋_GB2312" w:hAnsi="仿宋_GB2312" w:eastAsia="仿宋_GB2312" w:cs="仿宋_GB2312"/>
            </w:rPr>
            <w:fldChar w:fldCharType="begin"/>
          </w:r>
          <w:r>
            <w:rPr>
              <w:rFonts w:hint="eastAsia" w:ascii="仿宋_GB2312" w:hAnsi="仿宋_GB2312" w:eastAsia="仿宋_GB2312" w:cs="仿宋_GB2312"/>
            </w:rPr>
            <w:instrText xml:space="preserve"> HYPERLINK \l "bookmark3" </w:instrText>
          </w:r>
          <w:r>
            <w:rPr>
              <w:rFonts w:hint="eastAsia" w:ascii="仿宋_GB2312" w:hAnsi="仿宋_GB2312" w:eastAsia="仿宋_GB2312" w:cs="仿宋_GB231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24"/>
              <w:szCs w:val="24"/>
            </w:rPr>
            <w:t>10</w:t>
          </w:r>
          <w:r>
            <w:rPr>
              <w:rFonts w:hint="eastAsia" w:ascii="仿宋_GB2312" w:hAnsi="仿宋_GB2312" w:eastAsia="仿宋_GB2312" w:cs="仿宋_GB2312"/>
              <w:sz w:val="24"/>
              <w:szCs w:val="24"/>
            </w:rPr>
            <w:fldChar w:fldCharType="end"/>
          </w:r>
        </w:p>
        <w:p w14:paraId="4FF523E2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before="184" w:line="240" w:lineRule="auto"/>
            <w:ind w:left="7"/>
            <w:textAlignment w:val="auto"/>
            <w:rPr>
              <w:rFonts w:hint="eastAsia" w:ascii="仿宋_GB2312" w:hAnsi="仿宋_GB2312" w:eastAsia="仿宋_GB2312" w:cs="仿宋_GB2312"/>
              <w:spacing w:val="-1"/>
              <w:sz w:val="24"/>
              <w:szCs w:val="24"/>
            </w:rPr>
          </w:pPr>
          <w:r>
            <w:rPr>
              <w:rFonts w:hint="eastAsia" w:ascii="仿宋_GB2312" w:hAnsi="仿宋_GB2312" w:eastAsia="仿宋_GB2312" w:cs="仿宋_GB2312"/>
              <w:spacing w:val="-1"/>
              <w:sz w:val="24"/>
              <w:szCs w:val="24"/>
            </w:rPr>
            <w:t>选自第二章：遗传的细胞基础/ 第三节：人类性别决定的染色体机制</w:t>
          </w:r>
        </w:p>
        <w:p w14:paraId="3009BF15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before="184" w:line="240" w:lineRule="auto"/>
            <w:ind w:left="7"/>
            <w:textAlignment w:val="auto"/>
            <w:rPr>
              <w:rFonts w:hint="default" w:ascii="仿宋_GB2312" w:hAnsi="仿宋_GB2312" w:eastAsia="仿宋_GB2312" w:cs="仿宋_GB2312"/>
              <w:spacing w:val="-1"/>
              <w:sz w:val="24"/>
              <w:szCs w:val="24"/>
              <w:lang w:val="en-US" w:eastAsia="zh-CN"/>
            </w:rPr>
          </w:pPr>
          <w:r>
            <w:rPr>
              <w:rFonts w:hint="eastAsia" w:ascii="仿宋_GB2312" w:hAnsi="仿宋_GB2312" w:eastAsia="仿宋_GB2312" w:cs="仿宋_GB2312"/>
              <w:spacing w:val="-1"/>
              <w:sz w:val="24"/>
              <w:szCs w:val="24"/>
              <w:lang w:val="en-US" w:eastAsia="zh-CN"/>
            </w:rPr>
            <w:t>......</w:t>
          </w:r>
        </w:p>
        <w:p w14:paraId="1D0754C1">
          <w:pPr>
            <w:keepNext w:val="0"/>
            <w:keepLines w:val="0"/>
            <w:pageBreakBefore w:val="0"/>
            <w:widowControl/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line="560" w:lineRule="exact"/>
            <w:jc w:val="left"/>
            <w:textAlignment w:val="auto"/>
            <w:rPr>
              <w:rFonts w:ascii="仿宋_GB2312" w:eastAsia="仿宋_GB2312"/>
              <w:sz w:val="28"/>
              <w:szCs w:val="28"/>
            </w:rPr>
          </w:pPr>
        </w:p>
      </w:sdtContent>
    </w:sdt>
    <w:p w14:paraId="14666253">
      <w:pPr>
        <w:rPr>
          <w:rFonts w:hint="default" w:ascii="华文中宋" w:hAnsi="华文中宋" w:eastAsia="华文中宋" w:cs="华文中宋"/>
          <w:b w:val="0"/>
          <w:bCs/>
          <w:color w:val="555555"/>
          <w:sz w:val="32"/>
          <w:szCs w:val="32"/>
          <w:lang w:val="en-US" w:eastAsia="zh-CN"/>
        </w:rPr>
      </w:pPr>
      <w:bookmarkStart w:id="1" w:name="_GoBack"/>
      <w:bookmarkEnd w:id="1"/>
    </w:p>
    <w:sectPr>
      <w:footerReference r:id="rId3" w:type="default"/>
      <w:pgSz w:w="11906" w:h="16838"/>
      <w:pgMar w:top="1440" w:right="1531" w:bottom="1440" w:left="1531" w:header="851" w:footer="992" w:gutter="0"/>
      <w:pgNumType w:fmt="decimal"/>
      <w:cols w:space="425" w:num="1"/>
      <w:docGrid w:type="lines" w:linePitch="29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812A0951-4238-4095-8F5B-3A44BEEF87CC}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av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B2B3793-4B34-409B-BF78-D36C0F7C340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4C1000">
    <w:pPr>
      <w:pStyle w:val="5"/>
    </w:pPr>
    <w:r>
      <w:rPr>
        <w:sz w:val="18"/>
      </w:rPr>
      <w:pict>
        <v:shape id="_x0000_s4100" o:spid="_x0000_s410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7763E7A">
                <w:pPr>
                  <w:pStyle w:val="5"/>
                </w:pPr>
                <w:r>
                  <w:t xml:space="preserve">—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TrueTypeFonts/>
  <w:saveSubsetFonts/>
  <w:bordersDoNotSurroundHeader w:val="0"/>
  <w:bordersDoNotSurroundFooter w:val="0"/>
  <w:documentProtection w:enforcement="0"/>
  <w:defaultTabStop w:val="420"/>
  <w:drawingGridVerticalSpacing w:val="145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GJhMTZlMzRmODc3NzBmNGM5MTk0NTYxNDlhNDExYTYifQ=="/>
  </w:docVars>
  <w:rsids>
    <w:rsidRoot w:val="005E3C92"/>
    <w:rsid w:val="00000DD9"/>
    <w:rsid w:val="00053AA5"/>
    <w:rsid w:val="00067F03"/>
    <w:rsid w:val="000E33FF"/>
    <w:rsid w:val="000F028E"/>
    <w:rsid w:val="00101BD9"/>
    <w:rsid w:val="001060D9"/>
    <w:rsid w:val="00107351"/>
    <w:rsid w:val="001202FB"/>
    <w:rsid w:val="001222C0"/>
    <w:rsid w:val="001629BE"/>
    <w:rsid w:val="0019721B"/>
    <w:rsid w:val="001E3992"/>
    <w:rsid w:val="001E65D1"/>
    <w:rsid w:val="002177EB"/>
    <w:rsid w:val="00233B4C"/>
    <w:rsid w:val="002343B9"/>
    <w:rsid w:val="00252905"/>
    <w:rsid w:val="00254B09"/>
    <w:rsid w:val="00320102"/>
    <w:rsid w:val="00357F68"/>
    <w:rsid w:val="00373FE1"/>
    <w:rsid w:val="00374ADF"/>
    <w:rsid w:val="003A0333"/>
    <w:rsid w:val="003A2EAC"/>
    <w:rsid w:val="00401E6F"/>
    <w:rsid w:val="004031E4"/>
    <w:rsid w:val="00437F33"/>
    <w:rsid w:val="00492A67"/>
    <w:rsid w:val="004A4555"/>
    <w:rsid w:val="004D3837"/>
    <w:rsid w:val="00510F32"/>
    <w:rsid w:val="005716B1"/>
    <w:rsid w:val="0057180E"/>
    <w:rsid w:val="005842AB"/>
    <w:rsid w:val="00591454"/>
    <w:rsid w:val="005A1C94"/>
    <w:rsid w:val="005A1E00"/>
    <w:rsid w:val="005A302B"/>
    <w:rsid w:val="005B7581"/>
    <w:rsid w:val="005D372E"/>
    <w:rsid w:val="005D6DE7"/>
    <w:rsid w:val="005E2B22"/>
    <w:rsid w:val="005E3402"/>
    <w:rsid w:val="005E3C92"/>
    <w:rsid w:val="00603FAB"/>
    <w:rsid w:val="0062272F"/>
    <w:rsid w:val="00630279"/>
    <w:rsid w:val="00675064"/>
    <w:rsid w:val="00676B89"/>
    <w:rsid w:val="006A595C"/>
    <w:rsid w:val="006A7DC6"/>
    <w:rsid w:val="00735868"/>
    <w:rsid w:val="00797525"/>
    <w:rsid w:val="007C37A6"/>
    <w:rsid w:val="00881980"/>
    <w:rsid w:val="008917FE"/>
    <w:rsid w:val="008A0B5C"/>
    <w:rsid w:val="00900DAB"/>
    <w:rsid w:val="009508EC"/>
    <w:rsid w:val="009546AC"/>
    <w:rsid w:val="00964090"/>
    <w:rsid w:val="00974B29"/>
    <w:rsid w:val="00993D73"/>
    <w:rsid w:val="0099488B"/>
    <w:rsid w:val="009B6ACB"/>
    <w:rsid w:val="00A03093"/>
    <w:rsid w:val="00A45CE9"/>
    <w:rsid w:val="00AD2F38"/>
    <w:rsid w:val="00AE2ECA"/>
    <w:rsid w:val="00B0628F"/>
    <w:rsid w:val="00B228A9"/>
    <w:rsid w:val="00B626FE"/>
    <w:rsid w:val="00B63629"/>
    <w:rsid w:val="00B65773"/>
    <w:rsid w:val="00BA55A0"/>
    <w:rsid w:val="00BC5F02"/>
    <w:rsid w:val="00BC783B"/>
    <w:rsid w:val="00C14E69"/>
    <w:rsid w:val="00C53082"/>
    <w:rsid w:val="00C85F20"/>
    <w:rsid w:val="00CF61E5"/>
    <w:rsid w:val="00D0427E"/>
    <w:rsid w:val="00D11621"/>
    <w:rsid w:val="00D74476"/>
    <w:rsid w:val="00DA110E"/>
    <w:rsid w:val="00DB288F"/>
    <w:rsid w:val="00DB6A81"/>
    <w:rsid w:val="00DC50F8"/>
    <w:rsid w:val="00DD517A"/>
    <w:rsid w:val="00DD73F8"/>
    <w:rsid w:val="00DD76BE"/>
    <w:rsid w:val="00DF14E6"/>
    <w:rsid w:val="00E0640A"/>
    <w:rsid w:val="00E12150"/>
    <w:rsid w:val="00E13234"/>
    <w:rsid w:val="00E23E7B"/>
    <w:rsid w:val="00E47BB8"/>
    <w:rsid w:val="00E6359A"/>
    <w:rsid w:val="00E83459"/>
    <w:rsid w:val="00E97272"/>
    <w:rsid w:val="00EB3B08"/>
    <w:rsid w:val="00EE29C0"/>
    <w:rsid w:val="00F2094E"/>
    <w:rsid w:val="00F24C74"/>
    <w:rsid w:val="00F43B60"/>
    <w:rsid w:val="00F53DBD"/>
    <w:rsid w:val="00F619EE"/>
    <w:rsid w:val="00F845A1"/>
    <w:rsid w:val="00F854C8"/>
    <w:rsid w:val="00F914B4"/>
    <w:rsid w:val="00FD00CE"/>
    <w:rsid w:val="00FD4B8C"/>
    <w:rsid w:val="013712F7"/>
    <w:rsid w:val="01514167"/>
    <w:rsid w:val="018067FB"/>
    <w:rsid w:val="019B53E2"/>
    <w:rsid w:val="01F455AC"/>
    <w:rsid w:val="03D26FD0"/>
    <w:rsid w:val="04CF0C6D"/>
    <w:rsid w:val="04DA524E"/>
    <w:rsid w:val="05656433"/>
    <w:rsid w:val="0654294E"/>
    <w:rsid w:val="06B86A37"/>
    <w:rsid w:val="073E6F3C"/>
    <w:rsid w:val="08716E9D"/>
    <w:rsid w:val="08DB07BA"/>
    <w:rsid w:val="0A6842D0"/>
    <w:rsid w:val="0B024724"/>
    <w:rsid w:val="0D1A7C9B"/>
    <w:rsid w:val="0DC73194"/>
    <w:rsid w:val="0FF80A8B"/>
    <w:rsid w:val="104F3F68"/>
    <w:rsid w:val="111B42D7"/>
    <w:rsid w:val="11902A8A"/>
    <w:rsid w:val="11A8527A"/>
    <w:rsid w:val="137B32C6"/>
    <w:rsid w:val="139A2934"/>
    <w:rsid w:val="149A777C"/>
    <w:rsid w:val="152139F9"/>
    <w:rsid w:val="15475B55"/>
    <w:rsid w:val="15C2342E"/>
    <w:rsid w:val="15E554A9"/>
    <w:rsid w:val="17CC1B8B"/>
    <w:rsid w:val="18277578"/>
    <w:rsid w:val="18884FA0"/>
    <w:rsid w:val="197131A1"/>
    <w:rsid w:val="1981715C"/>
    <w:rsid w:val="1B162271"/>
    <w:rsid w:val="1BE27873"/>
    <w:rsid w:val="1D1F1166"/>
    <w:rsid w:val="1D4568CB"/>
    <w:rsid w:val="1D9257CC"/>
    <w:rsid w:val="200C59D1"/>
    <w:rsid w:val="204E2A69"/>
    <w:rsid w:val="20947775"/>
    <w:rsid w:val="20A4700B"/>
    <w:rsid w:val="216C7246"/>
    <w:rsid w:val="21E81F7A"/>
    <w:rsid w:val="23D74548"/>
    <w:rsid w:val="248953EB"/>
    <w:rsid w:val="26321F0A"/>
    <w:rsid w:val="26BD5C77"/>
    <w:rsid w:val="27787D8C"/>
    <w:rsid w:val="27A707E2"/>
    <w:rsid w:val="2A4D10C0"/>
    <w:rsid w:val="2A9F7442"/>
    <w:rsid w:val="2B577D1D"/>
    <w:rsid w:val="2BB67139"/>
    <w:rsid w:val="2C6721E1"/>
    <w:rsid w:val="2C972AC7"/>
    <w:rsid w:val="2CA13945"/>
    <w:rsid w:val="2CA90A4C"/>
    <w:rsid w:val="2DBB27E5"/>
    <w:rsid w:val="2DE53D06"/>
    <w:rsid w:val="2E661C3A"/>
    <w:rsid w:val="2E852ACB"/>
    <w:rsid w:val="306419A0"/>
    <w:rsid w:val="30B550DB"/>
    <w:rsid w:val="31804955"/>
    <w:rsid w:val="31FC33CC"/>
    <w:rsid w:val="330D0503"/>
    <w:rsid w:val="334E5EA9"/>
    <w:rsid w:val="33A63A6A"/>
    <w:rsid w:val="33FC5076"/>
    <w:rsid w:val="340F388A"/>
    <w:rsid w:val="351C625F"/>
    <w:rsid w:val="358E6A31"/>
    <w:rsid w:val="359B2431"/>
    <w:rsid w:val="35E64B49"/>
    <w:rsid w:val="360A6217"/>
    <w:rsid w:val="362D7FF8"/>
    <w:rsid w:val="36545584"/>
    <w:rsid w:val="36567E54"/>
    <w:rsid w:val="36AB32B0"/>
    <w:rsid w:val="37337890"/>
    <w:rsid w:val="37DE3C9F"/>
    <w:rsid w:val="384D0543"/>
    <w:rsid w:val="385E26EA"/>
    <w:rsid w:val="388B0992"/>
    <w:rsid w:val="38F60B75"/>
    <w:rsid w:val="396D3206"/>
    <w:rsid w:val="3995213C"/>
    <w:rsid w:val="39A131D7"/>
    <w:rsid w:val="39A5469B"/>
    <w:rsid w:val="39A8560D"/>
    <w:rsid w:val="3A0E0140"/>
    <w:rsid w:val="3AC52EF5"/>
    <w:rsid w:val="3AEA77A5"/>
    <w:rsid w:val="3B4E14F1"/>
    <w:rsid w:val="3BEE3353"/>
    <w:rsid w:val="3C6D55F2"/>
    <w:rsid w:val="3C9F1164"/>
    <w:rsid w:val="3CB050D8"/>
    <w:rsid w:val="3CBE19AA"/>
    <w:rsid w:val="3F805BA1"/>
    <w:rsid w:val="3FAB7FBF"/>
    <w:rsid w:val="41801923"/>
    <w:rsid w:val="43652EC4"/>
    <w:rsid w:val="43727992"/>
    <w:rsid w:val="43AE41E1"/>
    <w:rsid w:val="43B73576"/>
    <w:rsid w:val="43BD6E5F"/>
    <w:rsid w:val="44BA0FCA"/>
    <w:rsid w:val="4550160D"/>
    <w:rsid w:val="46A079CA"/>
    <w:rsid w:val="46E26E58"/>
    <w:rsid w:val="470E7DA2"/>
    <w:rsid w:val="47A67C0A"/>
    <w:rsid w:val="47F941DE"/>
    <w:rsid w:val="487815A6"/>
    <w:rsid w:val="4A181C6B"/>
    <w:rsid w:val="4BB86DAA"/>
    <w:rsid w:val="4BBC1660"/>
    <w:rsid w:val="4CA51E69"/>
    <w:rsid w:val="4CB47D2D"/>
    <w:rsid w:val="4D7C7519"/>
    <w:rsid w:val="4D925C54"/>
    <w:rsid w:val="4E110FDD"/>
    <w:rsid w:val="4E7C16C5"/>
    <w:rsid w:val="4EFA6EC6"/>
    <w:rsid w:val="50717A64"/>
    <w:rsid w:val="50B34387"/>
    <w:rsid w:val="51994107"/>
    <w:rsid w:val="5231632E"/>
    <w:rsid w:val="5257047F"/>
    <w:rsid w:val="53527C8A"/>
    <w:rsid w:val="53E21FCA"/>
    <w:rsid w:val="540E0AD8"/>
    <w:rsid w:val="54662BFB"/>
    <w:rsid w:val="55191F8A"/>
    <w:rsid w:val="5531145B"/>
    <w:rsid w:val="564B654C"/>
    <w:rsid w:val="569E667C"/>
    <w:rsid w:val="56B63D3E"/>
    <w:rsid w:val="573866B2"/>
    <w:rsid w:val="58583084"/>
    <w:rsid w:val="58A46EA3"/>
    <w:rsid w:val="58C3686E"/>
    <w:rsid w:val="59883D56"/>
    <w:rsid w:val="59AE243A"/>
    <w:rsid w:val="59FB7ABC"/>
    <w:rsid w:val="5BB46942"/>
    <w:rsid w:val="5C0969F7"/>
    <w:rsid w:val="5CA93FCD"/>
    <w:rsid w:val="5CBD35D4"/>
    <w:rsid w:val="5CFE3469"/>
    <w:rsid w:val="5F0639FD"/>
    <w:rsid w:val="608B6DEB"/>
    <w:rsid w:val="61E93486"/>
    <w:rsid w:val="6211064A"/>
    <w:rsid w:val="62864468"/>
    <w:rsid w:val="63D077CE"/>
    <w:rsid w:val="63FE384F"/>
    <w:rsid w:val="6417181C"/>
    <w:rsid w:val="65E711E5"/>
    <w:rsid w:val="667A45B0"/>
    <w:rsid w:val="66D47276"/>
    <w:rsid w:val="67580AC9"/>
    <w:rsid w:val="68F465CF"/>
    <w:rsid w:val="69653029"/>
    <w:rsid w:val="6A5C267E"/>
    <w:rsid w:val="6A8B4D12"/>
    <w:rsid w:val="6AC33FCF"/>
    <w:rsid w:val="6AD55F8D"/>
    <w:rsid w:val="6AE368FC"/>
    <w:rsid w:val="6B4A0729"/>
    <w:rsid w:val="6BDF7224"/>
    <w:rsid w:val="6BF901D7"/>
    <w:rsid w:val="6BFF59B7"/>
    <w:rsid w:val="6D947094"/>
    <w:rsid w:val="6E7E57F8"/>
    <w:rsid w:val="6E995E88"/>
    <w:rsid w:val="6EFD60DF"/>
    <w:rsid w:val="704E4817"/>
    <w:rsid w:val="70E9093A"/>
    <w:rsid w:val="71212D46"/>
    <w:rsid w:val="71370A4C"/>
    <w:rsid w:val="7226503F"/>
    <w:rsid w:val="7270316B"/>
    <w:rsid w:val="72A93F87"/>
    <w:rsid w:val="72AF5315"/>
    <w:rsid w:val="732D2E0A"/>
    <w:rsid w:val="737F73DD"/>
    <w:rsid w:val="73A330CC"/>
    <w:rsid w:val="754B6A7A"/>
    <w:rsid w:val="75A248AC"/>
    <w:rsid w:val="76B334C2"/>
    <w:rsid w:val="76C80835"/>
    <w:rsid w:val="777A05E8"/>
    <w:rsid w:val="77A613DD"/>
    <w:rsid w:val="78EA39AE"/>
    <w:rsid w:val="791E3531"/>
    <w:rsid w:val="794B223C"/>
    <w:rsid w:val="797E2AAB"/>
    <w:rsid w:val="79DC7338"/>
    <w:rsid w:val="7A790F04"/>
    <w:rsid w:val="7A923E9A"/>
    <w:rsid w:val="7ACC3887"/>
    <w:rsid w:val="7B481544"/>
    <w:rsid w:val="7B7826CC"/>
    <w:rsid w:val="7BF80F84"/>
    <w:rsid w:val="7C7F508E"/>
    <w:rsid w:val="7CBB5756"/>
    <w:rsid w:val="7D4A0487"/>
    <w:rsid w:val="7D8436EA"/>
    <w:rsid w:val="7E4763B0"/>
    <w:rsid w:val="7E492AC2"/>
    <w:rsid w:val="7E5E656D"/>
    <w:rsid w:val="7ECF746B"/>
    <w:rsid w:val="7F6D5B5A"/>
    <w:rsid w:val="7FAF7E83"/>
    <w:rsid w:val="7FB848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Date"/>
    <w:basedOn w:val="1"/>
    <w:next w:val="1"/>
    <w:link w:val="26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after="150"/>
      <w:jc w:val="left"/>
    </w:pPr>
    <w:rPr>
      <w:kern w:val="0"/>
      <w:sz w:val="24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FollowedHyperlink"/>
    <w:basedOn w:val="9"/>
    <w:semiHidden/>
    <w:unhideWhenUsed/>
    <w:qFormat/>
    <w:uiPriority w:val="99"/>
    <w:rPr>
      <w:color w:val="337AB7"/>
      <w:u w:val="none"/>
    </w:rPr>
  </w:style>
  <w:style w:type="character" w:styleId="12">
    <w:name w:val="Emphasis"/>
    <w:basedOn w:val="9"/>
    <w:qFormat/>
    <w:uiPriority w:val="20"/>
    <w:rPr>
      <w:i/>
    </w:rPr>
  </w:style>
  <w:style w:type="character" w:styleId="13">
    <w:name w:val="HTML Definition"/>
    <w:basedOn w:val="9"/>
    <w:semiHidden/>
    <w:unhideWhenUsed/>
    <w:qFormat/>
    <w:uiPriority w:val="99"/>
    <w:rPr>
      <w:b/>
      <w:i/>
      <w:color w:val="000000"/>
      <w:sz w:val="20"/>
      <w:szCs w:val="20"/>
    </w:rPr>
  </w:style>
  <w:style w:type="character" w:styleId="14">
    <w:name w:val="Hyperlink"/>
    <w:basedOn w:val="9"/>
    <w:qFormat/>
    <w:uiPriority w:val="0"/>
    <w:rPr>
      <w:color w:val="337AB7"/>
      <w:u w:val="none"/>
    </w:rPr>
  </w:style>
  <w:style w:type="character" w:styleId="15">
    <w:name w:val="HTML Code"/>
    <w:basedOn w:val="9"/>
    <w:semiHidden/>
    <w:unhideWhenUsed/>
    <w:qFormat/>
    <w:uiPriority w:val="99"/>
    <w:rPr>
      <w:rFonts w:hint="default"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16">
    <w:name w:val="HTML Keyboard"/>
    <w:basedOn w:val="9"/>
    <w:semiHidden/>
    <w:unhideWhenUsed/>
    <w:qFormat/>
    <w:uiPriority w:val="99"/>
    <w:rPr>
      <w:rFonts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17">
    <w:name w:val="HTML Sample"/>
    <w:basedOn w:val="9"/>
    <w:semiHidden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character" w:customStyle="1" w:styleId="18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9">
    <w:name w:val="页脚 Char"/>
    <w:basedOn w:val="9"/>
    <w:link w:val="5"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after3"/>
    <w:basedOn w:val="9"/>
    <w:qFormat/>
    <w:uiPriority w:val="0"/>
    <w:rPr>
      <w:color w:val="CCCCCC"/>
    </w:rPr>
  </w:style>
  <w:style w:type="character" w:customStyle="1" w:styleId="23">
    <w:name w:val="after4"/>
    <w:basedOn w:val="9"/>
    <w:qFormat/>
    <w:uiPriority w:val="0"/>
    <w:rPr>
      <w:color w:val="DDDDDD"/>
    </w:rPr>
  </w:style>
  <w:style w:type="character" w:customStyle="1" w:styleId="24">
    <w:name w:val="en2"/>
    <w:basedOn w:val="9"/>
    <w:qFormat/>
    <w:uiPriority w:val="0"/>
    <w:rPr>
      <w:rFonts w:hint="default" w:ascii="avian" w:hAnsi="avian" w:eastAsia="avian" w:cs="avian"/>
      <w:color w:val="707070"/>
      <w:sz w:val="39"/>
      <w:szCs w:val="39"/>
    </w:rPr>
  </w:style>
  <w:style w:type="character" w:customStyle="1" w:styleId="25">
    <w:name w:val="on"/>
    <w:basedOn w:val="9"/>
    <w:qFormat/>
    <w:uiPriority w:val="0"/>
    <w:rPr>
      <w:color w:val="333333"/>
      <w:sz w:val="39"/>
      <w:szCs w:val="39"/>
    </w:rPr>
  </w:style>
  <w:style w:type="character" w:customStyle="1" w:styleId="26">
    <w:name w:val="日期 Char"/>
    <w:basedOn w:val="9"/>
    <w:link w:val="3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table" w:customStyle="1" w:styleId="2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8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10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460</Words>
  <Characters>479</Characters>
  <Lines>14</Lines>
  <Paragraphs>4</Paragraphs>
  <TotalTime>16</TotalTime>
  <ScaleCrop>false</ScaleCrop>
  <LinksUpToDate>false</LinksUpToDate>
  <CharactersWithSpaces>672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2019-04-18T02:25:00Z</dcterms:created>
  <dc:creator>1</dc:creator>
  <cp:lastModifiedBy>赖晓霞</cp:lastModifiedBy>
  <cp:lastPrinted>2025-04-11T08:28:00Z</cp:lastPrinted>
  <dcterms:modified xsi:type="dcterms:W3CDTF">2025-04-14T07:34:11Z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D7A2FE54BAA5450899627E0BE87AAF95</vt:lpwstr>
  </property>
</Properties>
</file>